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6C" w:rsidRDefault="002B6E6C" w:rsidP="002B6E6C">
      <w:pPr>
        <w:ind w:firstLine="720"/>
        <w:jc w:val="right"/>
      </w:pPr>
      <w:r>
        <w:t xml:space="preserve">2.pielikums </w:t>
      </w:r>
    </w:p>
    <w:p w:rsidR="002B6E6C" w:rsidRPr="00200402" w:rsidRDefault="002B6E6C" w:rsidP="002B6E6C">
      <w:pPr>
        <w:autoSpaceDE w:val="0"/>
        <w:autoSpaceDN w:val="0"/>
        <w:adjustRightInd w:val="0"/>
        <w:rPr>
          <w:rFonts w:ascii="Times New Roman Bold" w:hAnsi="Times New Roman Bold"/>
          <w:b/>
          <w:bCs/>
          <w:caps/>
        </w:rPr>
      </w:pPr>
    </w:p>
    <w:p w:rsidR="002B6E6C" w:rsidRPr="00200402" w:rsidRDefault="002B6E6C" w:rsidP="002B6E6C">
      <w:pPr>
        <w:autoSpaceDE w:val="0"/>
        <w:autoSpaceDN w:val="0"/>
        <w:adjustRightInd w:val="0"/>
        <w:jc w:val="center"/>
        <w:rPr>
          <w:rFonts w:ascii="Times New Roman Bold" w:hAnsi="Times New Roman Bold"/>
          <w:caps/>
          <w:sz w:val="20"/>
          <w:szCs w:val="20"/>
        </w:rPr>
      </w:pPr>
      <w:r w:rsidRPr="00200402">
        <w:rPr>
          <w:rFonts w:ascii="Times New Roman Bold" w:hAnsi="Times New Roman Bold"/>
          <w:b/>
          <w:bCs/>
          <w:caps/>
        </w:rPr>
        <w:t>Iznomāšanas pretendenta piedāvājums</w:t>
      </w:r>
    </w:p>
    <w:p w:rsidR="002B6E6C" w:rsidRPr="00200402" w:rsidRDefault="002B6E6C" w:rsidP="002B6E6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0402">
        <w:rPr>
          <w:sz w:val="20"/>
          <w:szCs w:val="20"/>
        </w:rPr>
        <w:t>apstiprināts ar Ministru kabineta 2013.gada 29.oktobra noteikumiem Nr.1191</w:t>
      </w:r>
    </w:p>
    <w:p w:rsidR="002B6E6C" w:rsidRPr="00200402" w:rsidRDefault="002B6E6C" w:rsidP="002B6E6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200402">
        <w:rPr>
          <w:iCs/>
          <w:sz w:val="20"/>
          <w:szCs w:val="20"/>
        </w:rPr>
        <w:t>„</w:t>
      </w:r>
      <w:r w:rsidRPr="00200402">
        <w:rPr>
          <w:bCs/>
          <w:sz w:val="20"/>
          <w:szCs w:val="20"/>
        </w:rPr>
        <w:t>Kārtība, kādā publiska persona nomā nekustamo īpašumu no privātpersonas vai kapitālsabiedrības un publicē informāciju par nomātajiem un nomāt paredzētajiem nekustamajiem īpašumiem”</w:t>
      </w:r>
    </w:p>
    <w:p w:rsidR="002B6E6C" w:rsidRPr="00200402" w:rsidRDefault="002B6E6C" w:rsidP="002B6E6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2976"/>
      </w:tblGrid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Nr.</w:t>
            </w:r>
          </w:p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p.k.</w:t>
            </w:r>
          </w:p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Pieprasītā informācija</w:t>
            </w:r>
          </w:p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Iznomāšanas</w:t>
            </w:r>
          </w:p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pretendenta sniegtā</w:t>
            </w:r>
          </w:p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F3CF9">
              <w:rPr>
                <w:b/>
                <w:sz w:val="22"/>
                <w:szCs w:val="22"/>
              </w:rPr>
              <w:t>informācija</w:t>
            </w: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CF3CF9" w:rsidRDefault="002B6E6C" w:rsidP="002B6E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Fiziskas personas vārds, uzvārds, personas kods, deklarētās dzīvesvietas adrese, elektroniskā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pasta adrese (ja ir) un tālrunis, juridiskas personas (arī personālsabiedrības) nosaukums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 xml:space="preserve">(firma), reģistrācijas numurs, juridiskā adrese, elektroniskā pasta adrese (ja ir) un tālrunis </w:t>
            </w:r>
          </w:p>
        </w:tc>
        <w:tc>
          <w:tcPr>
            <w:tcW w:w="297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CF3CF9" w:rsidRDefault="002B6E6C" w:rsidP="002B6E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Iznomāšanas pretendenta pārstāvja vārds, uzvārds, personas kods (ja ir), elektroniskā pasta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adrese (ja ir) un tālruņa numurs</w:t>
            </w:r>
          </w:p>
        </w:tc>
        <w:tc>
          <w:tcPr>
            <w:tcW w:w="297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CF3CF9" w:rsidRDefault="002B6E6C" w:rsidP="002B6E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Nekustamā īpašuma adrese, kadastra numurs, platība un lietošanas mērķis, pievienojot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nekustamā īpašuma atrašanās vietas aprakstu</w:t>
            </w:r>
          </w:p>
        </w:tc>
        <w:tc>
          <w:tcPr>
            <w:tcW w:w="297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CF3CF9" w:rsidRDefault="002B6E6C" w:rsidP="002B6E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Nekustamā īpašuma apraksts, tai skaitā informācija par nekustamā īpašuma tehnisko stāvokli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(pievienojot fotoattēlus), telpu plānojums un cita informācija, kas var raksturot piedāvāto nomas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objektu</w:t>
            </w:r>
            <w:r>
              <w:rPr>
                <w:sz w:val="22"/>
                <w:szCs w:val="22"/>
              </w:rPr>
              <w:t xml:space="preserve"> (jāaizpilda un jāpievieno pielikumā pievienotā tabula)</w:t>
            </w:r>
          </w:p>
        </w:tc>
        <w:tc>
          <w:tcPr>
            <w:tcW w:w="297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B6E6C" w:rsidRPr="00200402" w:rsidTr="002F6D02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B6E6C" w:rsidRPr="00CF3CF9" w:rsidRDefault="002B6E6C" w:rsidP="002B6E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Apliecinājums, ka nepastāv tiesiski šķēršļi nekustamā īpašuma iznomāšanai vai nodošanai apakšnomā (ja attiecināms)</w:t>
            </w:r>
            <w:r>
              <w:rPr>
                <w:sz w:val="22"/>
                <w:szCs w:val="22"/>
              </w:rPr>
              <w:t xml:space="preserve">, Iznomāšanas </w:t>
            </w:r>
            <w:r w:rsidRPr="00D74E25">
              <w:rPr>
                <w:sz w:val="22"/>
                <w:szCs w:val="22"/>
              </w:rPr>
              <w:t>pretendents ir tiesīgs noslēgt telpu nomas līgumu.</w:t>
            </w:r>
          </w:p>
        </w:tc>
        <w:tc>
          <w:tcPr>
            <w:tcW w:w="297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CF3CF9" w:rsidRDefault="002B6E6C" w:rsidP="002B6E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Informācija par nekustamā īpašuma kopējām faktiskajām izmaksām iepriekšējā periodā, kas nav</w:t>
            </w:r>
          </w:p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 xml:space="preserve">mazāks par 12 mēnešiem </w:t>
            </w:r>
          </w:p>
        </w:tc>
        <w:tc>
          <w:tcPr>
            <w:tcW w:w="297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EUR bez PVN</w:t>
            </w: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CF3CF9" w:rsidRDefault="002B6E6C" w:rsidP="002B6E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Informācija par nekustamā īpašuma kopējām plānotajām izmaksām nākamajam periodam, kas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nav mazāks par 12 mēnešiem, tai skaitā*:</w:t>
            </w:r>
          </w:p>
        </w:tc>
        <w:tc>
          <w:tcPr>
            <w:tcW w:w="297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EUR bez PVN</w:t>
            </w: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7.1.</w:t>
            </w: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nomas maksas apmērs, norādot viena kvadrātmetra izmaksas mēnesī, un apsaimniekošanas</w:t>
            </w:r>
            <w:r>
              <w:rPr>
                <w:sz w:val="22"/>
                <w:szCs w:val="22"/>
              </w:rPr>
              <w:t xml:space="preserve"> </w:t>
            </w:r>
            <w:r w:rsidRPr="00CF3CF9">
              <w:rPr>
                <w:sz w:val="22"/>
                <w:szCs w:val="22"/>
              </w:rPr>
              <w:t>pakalpojumu izdevum</w:t>
            </w:r>
            <w:r>
              <w:rPr>
                <w:sz w:val="22"/>
                <w:szCs w:val="22"/>
              </w:rPr>
              <w:t xml:space="preserve">us (ieskaitot šīs tabulas 7.2.; 7.3.; 7.4. un 7.5.punktos norādītās izmaksas). </w:t>
            </w:r>
          </w:p>
        </w:tc>
        <w:tc>
          <w:tcPr>
            <w:tcW w:w="2976" w:type="dxa"/>
            <w:shd w:val="clear" w:color="auto" w:fill="auto"/>
          </w:tcPr>
          <w:p w:rsidR="002B6E6C" w:rsidRDefault="002B6E6C" w:rsidP="002F6D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Nomas maksa par 1 m</w:t>
            </w:r>
            <w:r w:rsidRPr="004F5D9C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mēnesī ______ EUR bez PVN.</w:t>
            </w:r>
          </w:p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Kopējā (ieskaitot šīs tabulas 7.2; 7.3; 7.4 un 7.5 punktos norādītās izmaksas) nomas maksa mēnesī  ______ EUR bez PVN</w:t>
            </w: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D74E25" w:rsidRDefault="002B6E6C" w:rsidP="002F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74E25">
              <w:rPr>
                <w:sz w:val="22"/>
                <w:szCs w:val="22"/>
              </w:rPr>
              <w:t>7.2.</w:t>
            </w:r>
          </w:p>
        </w:tc>
        <w:tc>
          <w:tcPr>
            <w:tcW w:w="6096" w:type="dxa"/>
            <w:shd w:val="clear" w:color="auto" w:fill="auto"/>
          </w:tcPr>
          <w:p w:rsidR="002B6E6C" w:rsidRPr="00D74E25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74E25">
              <w:rPr>
                <w:sz w:val="22"/>
                <w:szCs w:val="22"/>
              </w:rPr>
              <w:t xml:space="preserve">Apsaimniekošanas (pārvaldīšanas) pakalpojumu izmaksas, kas ir saistītas ar iznomātajām telpām, </w:t>
            </w:r>
            <w:r>
              <w:rPr>
                <w:sz w:val="22"/>
                <w:szCs w:val="22"/>
              </w:rPr>
              <w:t>pievienojot nekustamā īpašuma apsaimniekošanas pasākumu plānu.</w:t>
            </w:r>
          </w:p>
        </w:tc>
        <w:tc>
          <w:tcPr>
            <w:tcW w:w="2976" w:type="dxa"/>
            <w:shd w:val="clear" w:color="auto" w:fill="auto"/>
          </w:tcPr>
          <w:p w:rsidR="002B6E6C" w:rsidRPr="00D74E25" w:rsidRDefault="002B6E6C" w:rsidP="002F6D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19DB">
              <w:rPr>
                <w:sz w:val="22"/>
                <w:szCs w:val="22"/>
                <w:shd w:val="clear" w:color="auto" w:fill="FFFFFF"/>
              </w:rPr>
              <w:t>Apsaimniekošanas maksa par 1 m</w:t>
            </w:r>
            <w:r w:rsidRPr="001819DB">
              <w:rPr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1819DB">
              <w:rPr>
                <w:sz w:val="22"/>
                <w:szCs w:val="22"/>
                <w:shd w:val="clear" w:color="auto" w:fill="FFFFFF"/>
              </w:rPr>
              <w:t xml:space="preserve"> mēnesī ______ EUR bez PVN.</w:t>
            </w:r>
          </w:p>
          <w:p w:rsidR="002B6E6C" w:rsidRPr="00D74E25" w:rsidRDefault="002B6E6C" w:rsidP="002F6D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</w:t>
            </w:r>
            <w:r w:rsidRPr="00CF3CF9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 xml:space="preserve">nomnieka nomas sludinājumā norādīto specifisko prasību </w:t>
            </w:r>
            <w:r>
              <w:rPr>
                <w:sz w:val="22"/>
                <w:szCs w:val="22"/>
              </w:rPr>
              <w:t>nodrošināšanas izmaksas</w:t>
            </w:r>
          </w:p>
        </w:tc>
        <w:tc>
          <w:tcPr>
            <w:tcW w:w="297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EUR bez PVN</w:t>
            </w: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4</w:t>
            </w:r>
            <w:r w:rsidRPr="00CF3CF9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komunālo pakalpojumu izmaksas</w:t>
            </w:r>
            <w:r>
              <w:rPr>
                <w:sz w:val="22"/>
                <w:szCs w:val="22"/>
              </w:rPr>
              <w:t>, norādot atsevišķi katras pozīcijas izmaksas</w:t>
            </w:r>
          </w:p>
        </w:tc>
        <w:tc>
          <w:tcPr>
            <w:tcW w:w="297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EUR bez PVN</w:t>
            </w: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5</w:t>
            </w:r>
            <w:r w:rsidRPr="00CF3CF9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F3CF9">
              <w:rPr>
                <w:sz w:val="22"/>
                <w:szCs w:val="22"/>
              </w:rPr>
              <w:t>kapitālieguldījumi, ja tādi ir nepieciešami</w:t>
            </w:r>
          </w:p>
        </w:tc>
        <w:tc>
          <w:tcPr>
            <w:tcW w:w="2976" w:type="dxa"/>
            <w:shd w:val="clear" w:color="auto" w:fill="auto"/>
          </w:tcPr>
          <w:p w:rsidR="002B6E6C" w:rsidRPr="00CF3CF9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EUR bez PVN</w:t>
            </w:r>
          </w:p>
        </w:tc>
      </w:tr>
      <w:tr w:rsidR="002B6E6C" w:rsidRPr="00200402" w:rsidTr="002F6D02">
        <w:tc>
          <w:tcPr>
            <w:tcW w:w="675" w:type="dxa"/>
            <w:shd w:val="clear" w:color="auto" w:fill="auto"/>
          </w:tcPr>
          <w:p w:rsidR="002B6E6C" w:rsidRPr="000703BA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:rsidR="002B6E6C" w:rsidRPr="000703BA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703BA">
              <w:rPr>
                <w:sz w:val="22"/>
                <w:szCs w:val="22"/>
              </w:rPr>
              <w:t>Nomas maksājumi, ja tādi ir, par telpām, kas atrodas citās ēkās</w:t>
            </w:r>
          </w:p>
        </w:tc>
        <w:tc>
          <w:tcPr>
            <w:tcW w:w="2976" w:type="dxa"/>
            <w:shd w:val="clear" w:color="auto" w:fill="auto"/>
          </w:tcPr>
          <w:p w:rsidR="002B6E6C" w:rsidRPr="000703BA" w:rsidRDefault="002B6E6C" w:rsidP="002F6D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703BA">
              <w:rPr>
                <w:sz w:val="22"/>
                <w:szCs w:val="22"/>
              </w:rPr>
              <w:t>______ EUR bez PVN</w:t>
            </w:r>
          </w:p>
        </w:tc>
      </w:tr>
    </w:tbl>
    <w:p w:rsidR="002B6E6C" w:rsidRPr="001919A9" w:rsidRDefault="002B6E6C" w:rsidP="002B6E6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1919A9">
        <w:rPr>
          <w:i/>
          <w:sz w:val="22"/>
          <w:szCs w:val="22"/>
        </w:rPr>
        <w:t>Norādītās plānotās izmaksas, izņemot izmaksas par apkuri, auksto un karsto ūdeni, kanalizāciju, elektrību un atkritumu izvešanu, iznomāšanas pretendentam ir saistošas, slēdzot līgumu ar nomnieku.</w:t>
      </w:r>
    </w:p>
    <w:p w:rsidR="002B6E6C" w:rsidRDefault="002B6E6C" w:rsidP="002B6E6C">
      <w:pPr>
        <w:autoSpaceDE w:val="0"/>
        <w:autoSpaceDN w:val="0"/>
        <w:adjustRightInd w:val="0"/>
        <w:rPr>
          <w:i/>
        </w:rPr>
      </w:pPr>
    </w:p>
    <w:p w:rsidR="002B6E6C" w:rsidRPr="001919A9" w:rsidRDefault="002B6E6C" w:rsidP="002B6E6C">
      <w:pPr>
        <w:autoSpaceDE w:val="0"/>
        <w:autoSpaceDN w:val="0"/>
        <w:adjustRightInd w:val="0"/>
      </w:pPr>
      <w:r w:rsidRPr="001919A9">
        <w:t>Datums</w:t>
      </w:r>
    </w:p>
    <w:p w:rsidR="002B6E6C" w:rsidRPr="001919A9" w:rsidRDefault="002B6E6C" w:rsidP="002B6E6C">
      <w:pPr>
        <w:autoSpaceDE w:val="0"/>
        <w:autoSpaceDN w:val="0"/>
        <w:adjustRightInd w:val="0"/>
      </w:pP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  <w:t>_____________________ (paraksts)</w:t>
      </w:r>
    </w:p>
    <w:p w:rsidR="002B6E6C" w:rsidRPr="001919A9" w:rsidRDefault="002B6E6C" w:rsidP="002B6E6C">
      <w:pPr>
        <w:autoSpaceDE w:val="0"/>
        <w:autoSpaceDN w:val="0"/>
        <w:adjustRightInd w:val="0"/>
      </w:pPr>
    </w:p>
    <w:p w:rsidR="002B6E6C" w:rsidRDefault="002B6E6C" w:rsidP="002B6E6C">
      <w:pPr>
        <w:autoSpaceDE w:val="0"/>
        <w:autoSpaceDN w:val="0"/>
        <w:adjustRightInd w:val="0"/>
      </w:pP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</w:r>
      <w:r w:rsidRPr="001919A9">
        <w:tab/>
        <w:t>_____________________ (amats)</w:t>
      </w:r>
    </w:p>
    <w:p w:rsidR="002B6E6C" w:rsidRDefault="002B6E6C" w:rsidP="002B6E6C">
      <w:pPr>
        <w:autoSpaceDE w:val="0"/>
        <w:autoSpaceDN w:val="0"/>
        <w:adjustRightInd w:val="0"/>
        <w:spacing w:line="200" w:lineRule="exact"/>
        <w:jc w:val="right"/>
      </w:pPr>
      <w:r>
        <w:br w:type="page"/>
      </w:r>
      <w:r>
        <w:lastRenderedPageBreak/>
        <w:t>Pielikums</w:t>
      </w:r>
    </w:p>
    <w:p w:rsidR="002B6E6C" w:rsidRDefault="002B6E6C" w:rsidP="002B6E6C">
      <w:pPr>
        <w:autoSpaceDE w:val="0"/>
        <w:autoSpaceDN w:val="0"/>
        <w:adjustRightInd w:val="0"/>
        <w:spacing w:line="200" w:lineRule="exact"/>
        <w:jc w:val="right"/>
      </w:pPr>
      <w:r>
        <w:t>Iznomāšanas pretendenta piedāvājumam</w:t>
      </w:r>
    </w:p>
    <w:p w:rsidR="002B6E6C" w:rsidRDefault="002B6E6C" w:rsidP="002B6E6C">
      <w:pPr>
        <w:autoSpaceDE w:val="0"/>
        <w:autoSpaceDN w:val="0"/>
        <w:adjustRightInd w:val="0"/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843"/>
        <w:gridCol w:w="850"/>
        <w:gridCol w:w="4111"/>
        <w:gridCol w:w="2126"/>
      </w:tblGrid>
      <w:tr w:rsidR="002B6E6C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FF350B" w:rsidRDefault="002B6E6C" w:rsidP="002F6D02">
            <w:pPr>
              <w:pStyle w:val="Parasts"/>
              <w:spacing w:after="0"/>
              <w:ind w:right="-108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FF350B" w:rsidRDefault="002B6E6C" w:rsidP="002F6D02">
            <w:pPr>
              <w:pStyle w:val="Parasts"/>
              <w:spacing w:after="0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Prasības veids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FF350B" w:rsidRDefault="002B6E6C" w:rsidP="002F6D02">
            <w:pPr>
              <w:pStyle w:val="Parasts"/>
              <w:spacing w:after="0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FF350B" w:rsidRDefault="002B6E6C" w:rsidP="002F6D02">
            <w:pPr>
              <w:pStyle w:val="Parasts"/>
              <w:spacing w:after="0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FF350B">
              <w:rPr>
                <w:rFonts w:ascii="Times New Roman" w:hAnsi="Times New Roman"/>
                <w:b/>
                <w:sz w:val="24"/>
                <w:szCs w:val="24"/>
              </w:rPr>
              <w:t xml:space="preserve">Minimālās prasības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FF350B" w:rsidRDefault="002B6E6C" w:rsidP="002F6D02">
            <w:pPr>
              <w:pStyle w:val="Parasts"/>
              <w:spacing w:after="0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piedāvājums</w:t>
            </w:r>
          </w:p>
        </w:tc>
      </w:tr>
      <w:tr w:rsidR="002B6E6C" w:rsidRPr="006C139F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6C139F" w:rsidRDefault="002B6E6C" w:rsidP="002F6D02">
            <w:pPr>
              <w:pStyle w:val="Parasts"/>
              <w:spacing w:after="0"/>
              <w:ind w:right="-108"/>
              <w:rPr>
                <w:rFonts w:ascii="Times New Roman" w:hAnsi="Times New Roman"/>
                <w:b/>
              </w:rPr>
            </w:pPr>
            <w:r w:rsidRPr="006C139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0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Vispārējās p</w:t>
            </w:r>
            <w:r w:rsidRPr="006C139F">
              <w:rPr>
                <w:rFonts w:ascii="Times New Roman" w:hAnsi="Times New Roman"/>
                <w:b/>
                <w:sz w:val="24"/>
                <w:szCs w:val="24"/>
              </w:rPr>
              <w:t>rasības ēkai</w:t>
            </w: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0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C751D7" w:rsidRDefault="002B6E6C" w:rsidP="002F6D02">
            <w:pPr>
              <w:pStyle w:val="Parasts"/>
              <w:spacing w:after="0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C751D7">
              <w:rPr>
                <w:rFonts w:ascii="Times New Roman" w:hAnsi="Times New Roman"/>
                <w:sz w:val="24"/>
                <w:szCs w:val="24"/>
              </w:rPr>
              <w:t>Atrašanās vieta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9718C3" w:rsidRDefault="002B6E6C" w:rsidP="002F6D02">
            <w:pPr>
              <w:pStyle w:val="Parasts"/>
              <w:spacing w:after="0" w:line="21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9718C3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C3">
              <w:rPr>
                <w:rFonts w:ascii="Times New Roman" w:hAnsi="Times New Roman"/>
                <w:sz w:val="24"/>
                <w:szCs w:val="24"/>
              </w:rPr>
              <w:t xml:space="preserve">Jūrmalas pilsētas </w:t>
            </w:r>
            <w:r>
              <w:rPr>
                <w:rFonts w:ascii="Times New Roman" w:hAnsi="Times New Roman"/>
                <w:sz w:val="24"/>
                <w:szCs w:val="24"/>
              </w:rPr>
              <w:t>Lielupes – Majoru rajons</w:t>
            </w:r>
            <w:r w:rsidRPr="009718C3">
              <w:rPr>
                <w:rFonts w:ascii="Times New Roman" w:hAnsi="Times New Roman"/>
                <w:sz w:val="24"/>
                <w:szCs w:val="24"/>
              </w:rPr>
              <w:t xml:space="preserve"> (jāpievieno telpu un teritorijas plāni ar atzīmētām piedāvātajām nomas platībām).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9718C3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0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9718C3" w:rsidRDefault="002B6E6C" w:rsidP="002F6D02">
            <w:pPr>
              <w:pStyle w:val="Parasts"/>
              <w:spacing w:after="0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C751D7">
              <w:rPr>
                <w:rFonts w:ascii="Times New Roman" w:hAnsi="Times New Roman"/>
                <w:sz w:val="24"/>
                <w:szCs w:val="24"/>
              </w:rPr>
              <w:t>Piegulošās teritorija</w:t>
            </w:r>
            <w:r w:rsidRPr="009718C3">
              <w:rPr>
                <w:rFonts w:ascii="Times New Roman" w:hAnsi="Times New Roman"/>
                <w:sz w:val="24"/>
                <w:szCs w:val="24"/>
              </w:rPr>
              <w:t>s labiekārtojums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0" w:line="21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izmantot ēkai piegulošo teritoriju (aptuveni 1000 m</w:t>
            </w:r>
            <w:r w:rsidRPr="0088585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skolas audzēkņu garā starpbrīža pastaigām un dažādām fiziskām aktivitātēm. </w:t>
            </w:r>
          </w:p>
          <w:p w:rsidR="002B6E6C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ēkas apkārtni izmantot “Zaļajām stundām”.</w:t>
            </w:r>
          </w:p>
          <w:p w:rsidR="002B6E6C" w:rsidRPr="0088585E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 piegulošajā teritorijā novietot darbinieku autotransportu.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0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C751D7" w:rsidRDefault="002B6E6C" w:rsidP="002F6D02">
            <w:pPr>
              <w:pStyle w:val="Parasts"/>
              <w:spacing w:after="0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C751D7">
              <w:rPr>
                <w:rFonts w:ascii="Times New Roman" w:hAnsi="Times New Roman"/>
                <w:sz w:val="24"/>
                <w:szCs w:val="24"/>
              </w:rPr>
              <w:t>Ēkas ieejas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0" w:line="21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9718C3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Atsevišķa ieeja nomātajās telpās.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7F3F9F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3F9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7F3F9F" w:rsidRDefault="002B6E6C" w:rsidP="002F6D02">
            <w:pPr>
              <w:pStyle w:val="Parasts"/>
              <w:spacing w:after="0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7F3F9F">
              <w:rPr>
                <w:rFonts w:ascii="Times New Roman" w:hAnsi="Times New Roman"/>
                <w:sz w:val="24"/>
                <w:szCs w:val="24"/>
              </w:rPr>
              <w:t>2., 3. un 4.punktā norādīto telpu kopējā platība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7F3F9F" w:rsidRDefault="002B6E6C" w:rsidP="002F6D02">
            <w:pPr>
              <w:pStyle w:val="Parasts"/>
              <w:spacing w:after="0" w:line="21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7F3F9F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9F">
              <w:rPr>
                <w:rFonts w:ascii="Times New Roman" w:hAnsi="Times New Roman"/>
                <w:sz w:val="24"/>
                <w:szCs w:val="24"/>
              </w:rPr>
              <w:t>Ne mazāk kā 1600 m</w:t>
            </w:r>
            <w:r w:rsidRPr="007F3F9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F3F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7F3F9F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E040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C751D7" w:rsidRDefault="002B6E6C" w:rsidP="002F6D02">
            <w:pPr>
              <w:pStyle w:val="Parasts"/>
              <w:spacing w:after="0"/>
              <w:ind w:left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E0408">
              <w:rPr>
                <w:rFonts w:ascii="Times New Roman" w:hAnsi="Times New Roman"/>
                <w:b/>
                <w:sz w:val="24"/>
                <w:szCs w:val="24"/>
              </w:rPr>
              <w:t xml:space="preserve">Prasības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mācību </w:t>
            </w:r>
            <w:r w:rsidRPr="00EE0408">
              <w:rPr>
                <w:rFonts w:ascii="Times New Roman" w:hAnsi="Times New Roman"/>
                <w:b/>
                <w:sz w:val="24"/>
                <w:szCs w:val="24"/>
              </w:rPr>
              <w:t>telpām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EE0408" w:rsidRDefault="002B6E6C" w:rsidP="002F6D02">
            <w:pPr>
              <w:pStyle w:val="Parasts"/>
              <w:spacing w:after="0"/>
              <w:ind w:left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Klašu telpas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C751D7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 mazāka kā 50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9718C3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Mājturības un tehnoloģiju kabinets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9718C3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50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9718C3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Svešvalodu kabineti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9718C3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Katrs ne mazāks kā 15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9718C3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Mācību virtuves un šūšanas kabinets; </w:t>
            </w:r>
            <w:r w:rsidRPr="000703BA">
              <w:rPr>
                <w:rFonts w:ascii="Times New Roman" w:hAnsi="Times New Roman"/>
                <w:sz w:val="24"/>
                <w:szCs w:val="24"/>
              </w:rPr>
              <w:t>mākslas kabinets ar palīgtelpu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9718C3" w:rsidRDefault="002B6E6C" w:rsidP="002F6D02">
            <w:pPr>
              <w:pStyle w:val="Parasts"/>
              <w:spacing w:after="0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9718C3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Katrs ne mazāks kā </w:t>
            </w:r>
            <w:r w:rsidRPr="000703BA">
              <w:rPr>
                <w:rStyle w:val="Noklusjumarindkopasfonts"/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9718C3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Informātikas kabinets</w:t>
            </w:r>
            <w:r w:rsidRPr="00971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9718C3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Ne mazāks </w:t>
            </w:r>
            <w:r w:rsidRPr="000703BA"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kā 6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Zinātnes kabinets ar izlietnēm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C751D7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65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Mūzikas kabinets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C751D7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50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408">
              <w:rPr>
                <w:rFonts w:ascii="Times New Roman" w:hAnsi="Times New Roman"/>
                <w:b/>
                <w:sz w:val="24"/>
                <w:szCs w:val="24"/>
              </w:rPr>
              <w:t xml:space="preserve">Prasības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administrācijas un darbinieku telpām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EE0408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F15D15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4DE7">
              <w:rPr>
                <w:rFonts w:ascii="Times New Roman" w:hAnsi="Times New Roman"/>
                <w:sz w:val="24"/>
                <w:szCs w:val="24"/>
              </w:rPr>
              <w:t>Skolotāju istaba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F15D15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3622B2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 mazāka kā 15 m</w:t>
            </w:r>
            <w:r w:rsidRPr="00C34069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3622B2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622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F15D15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4DE7">
              <w:rPr>
                <w:rFonts w:ascii="Times New Roman" w:hAnsi="Times New Roman"/>
                <w:sz w:val="24"/>
                <w:szCs w:val="24"/>
              </w:rPr>
              <w:t>Administrācija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F15D15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03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9718C3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 mazāka kā 15 m</w:t>
            </w:r>
            <w:r w:rsidRPr="00C34069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3622B2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9718C3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 w:rsidRPr="00EE0408">
              <w:rPr>
                <w:rFonts w:ascii="Times New Roman" w:hAnsi="Times New Roman"/>
                <w:b/>
                <w:sz w:val="24"/>
                <w:szCs w:val="24"/>
              </w:rPr>
              <w:t xml:space="preserve">Prasības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citām telpām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EE0408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3622B2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362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41114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 w:rsidRPr="00E41114">
              <w:rPr>
                <w:rFonts w:ascii="Times New Roman" w:hAnsi="Times New Roman"/>
                <w:sz w:val="24"/>
                <w:szCs w:val="24"/>
              </w:rPr>
              <w:t>Psihologa kabinets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9718C3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3622B2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15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3622B2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C751D7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Medicīnas kabinets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9718C3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3622B2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15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Bibliotēka </w:t>
            </w:r>
            <w:r w:rsidRPr="000703BA">
              <w:rPr>
                <w:rFonts w:ascii="Times New Roman" w:hAnsi="Times New Roman"/>
                <w:sz w:val="24"/>
                <w:szCs w:val="24"/>
              </w:rPr>
              <w:t>ar lasītavu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</w:t>
            </w:r>
            <w:r w:rsidRPr="00F84DE7"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 mazāk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a</w:t>
            </w:r>
            <w:r w:rsidRPr="00F84DE7"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 kā 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35</w:t>
            </w:r>
            <w:r w:rsidRPr="00F84DE7"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 m</w:t>
            </w:r>
            <w:r w:rsidRPr="00F84DE7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 w:rsidRPr="00F84DE7">
              <w:rPr>
                <w:rFonts w:ascii="Times New Roman" w:hAnsi="Times New Roman"/>
                <w:sz w:val="24"/>
                <w:szCs w:val="24"/>
              </w:rPr>
              <w:t>Garderobe skolotājiem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mazāks kā 15 m</w:t>
            </w:r>
            <w:r w:rsidRPr="00F96F7E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Meiteņu tualetes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 mazāka kā 8 m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, ar vismaz 2 izlietnēm un 2 klozetpodiem.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Zēnu tualetes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 mazāka kā 8 m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, ar vismaz 2 izlietnēm, 1 klozetpodu un 1 pisuāru.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Darbinieku ģērbtuve un tualete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mazāka kā 10 m</w:t>
            </w:r>
            <w:r w:rsidRPr="00444372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, duša.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Saimniecības telpa (darbnīca)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mazāka kā 15 m</w:t>
            </w:r>
            <w:r w:rsidRPr="004B26AC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Vieta dežurantam.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Atsevišķa telpa vai vieta dežurantam.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Noliktavas (arī arhīvs)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Katra ne mazāka kā 15 m</w:t>
            </w:r>
            <w:r w:rsidRPr="00444372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Ēdamzāle, virtuve, pārtikas noliktava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mazāka kā 100 m</w:t>
            </w:r>
            <w:r w:rsidRPr="00444372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Neliela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funkcionāla zāle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 mazāka kā 85 m</w:t>
            </w:r>
            <w:r w:rsidRPr="00444372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Sporta un aktu zāles un palīgtelpas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251" w:line="216" w:lineRule="auto"/>
              <w:ind w:left="31"/>
              <w:jc w:val="center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Katra ne mazāka kā </w:t>
            </w:r>
            <w:r w:rsidRPr="000703BA">
              <w:rPr>
                <w:rStyle w:val="Noklusjumarindkopasfonts"/>
                <w:rFonts w:ascii="Times New Roman" w:hAnsi="Times New Roman"/>
                <w:sz w:val="24"/>
                <w:szCs w:val="24"/>
              </w:rPr>
              <w:t>160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 m</w:t>
            </w:r>
            <w:r w:rsidRPr="003549E6">
              <w:rPr>
                <w:rStyle w:val="Noklusjumarindkopasfonts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>.</w:t>
            </w:r>
          </w:p>
          <w:p w:rsidR="002B6E6C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Telpas var atrasties citā ēkā, kas atrodas uz tā paša zemesgabala, uz kura atrodas nomātās ēkas telpas, kā arī </w:t>
            </w:r>
            <w:r w:rsidRPr="000703BA">
              <w:rPr>
                <w:rStyle w:val="Noklusjumarindkopasfonts"/>
                <w:rFonts w:ascii="Times New Roman" w:hAnsi="Times New Roman"/>
                <w:sz w:val="24"/>
                <w:szCs w:val="24"/>
              </w:rPr>
              <w:t>neietilpt kopējā telpu platībā. Var būt cita apmaksas kārtība, kas precīzi jānorāda iznomāšanas pretendenta piedāvājumā</w:t>
            </w:r>
            <w:r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Default="002B6E6C" w:rsidP="002F6D02">
            <w:pPr>
              <w:pStyle w:val="Parasts"/>
              <w:spacing w:after="0" w:line="216" w:lineRule="auto"/>
              <w:ind w:left="31"/>
              <w:jc w:val="both"/>
              <w:rPr>
                <w:rStyle w:val="Noklusjumarindkopasfonts"/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C751D7" w:rsidRDefault="002B6E6C" w:rsidP="002F6D02">
            <w:pPr>
              <w:pStyle w:val="Parasts"/>
              <w:spacing w:after="251" w:line="216" w:lineRule="auto"/>
              <w:ind w:left="31"/>
              <w:rPr>
                <w:rStyle w:val="Noklusjumarindkopasfonts"/>
                <w:rFonts w:ascii="Times New Roman" w:hAnsi="Times New Roman"/>
                <w:b/>
                <w:sz w:val="24"/>
                <w:szCs w:val="24"/>
              </w:rPr>
            </w:pPr>
            <w:r w:rsidRPr="00C751D7">
              <w:rPr>
                <w:rStyle w:val="Noklusjumarindkopasfonts"/>
                <w:rFonts w:ascii="Times New Roman" w:hAnsi="Times New Roman"/>
                <w:b/>
                <w:sz w:val="24"/>
                <w:szCs w:val="24"/>
              </w:rPr>
              <w:t>Citas prasības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C751D7" w:rsidRDefault="002B6E6C" w:rsidP="002F6D02">
            <w:pPr>
              <w:pStyle w:val="Parasts"/>
              <w:spacing w:after="251" w:line="216" w:lineRule="auto"/>
              <w:ind w:left="31"/>
              <w:rPr>
                <w:rStyle w:val="Noklusjumarindkopasfonts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EE0408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040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C751D7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 w:rsidRPr="00C751D7">
              <w:rPr>
                <w:rFonts w:ascii="Times New Roman" w:hAnsi="Times New Roman"/>
                <w:sz w:val="24"/>
                <w:szCs w:val="24"/>
              </w:rPr>
              <w:t>Komunālo pakalpojumu un citu komunikāciju nodrošinājums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9718C3" w:rsidRDefault="002B6E6C" w:rsidP="002F6D02">
            <w:pPr>
              <w:pStyle w:val="Parasts"/>
              <w:spacing w:after="0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C42A6E" w:rsidRDefault="002B6E6C" w:rsidP="002F6D02">
            <w:pPr>
              <w:pStyle w:val="Parasts"/>
              <w:spacing w:after="0"/>
              <w:ind w:left="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18C3">
              <w:rPr>
                <w:rFonts w:ascii="Times New Roman" w:hAnsi="Times New Roman"/>
                <w:sz w:val="24"/>
                <w:szCs w:val="24"/>
              </w:rPr>
              <w:t>Centrālā apkure, elektroapgāde, ūdensapgāde un kanalizācija, ventilācija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9718C3" w:rsidRDefault="002B6E6C" w:rsidP="002F6D02">
            <w:pPr>
              <w:pStyle w:val="Parasts"/>
              <w:spacing w:after="0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E6C" w:rsidRPr="00EE0408" w:rsidTr="002F6D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3622B2" w:rsidRDefault="002B6E6C" w:rsidP="002F6D02">
            <w:pPr>
              <w:pStyle w:val="Parasts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622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2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C751D7" w:rsidRDefault="002B6E6C" w:rsidP="002F6D02">
            <w:pPr>
              <w:pStyle w:val="Parasts"/>
              <w:spacing w:after="0"/>
              <w:ind w:left="40" w:right="183" w:hanging="5"/>
              <w:rPr>
                <w:rFonts w:ascii="Times New Roman" w:hAnsi="Times New Roman"/>
                <w:sz w:val="24"/>
                <w:szCs w:val="24"/>
              </w:rPr>
            </w:pPr>
            <w:r w:rsidRPr="00C751D7">
              <w:rPr>
                <w:rFonts w:ascii="Times New Roman" w:hAnsi="Times New Roman"/>
                <w:sz w:val="24"/>
                <w:szCs w:val="24"/>
              </w:rPr>
              <w:t>Ēkas ugunsdrošības un trauksmes sistēma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9718C3" w:rsidRDefault="002B6E6C" w:rsidP="002F6D02">
            <w:pPr>
              <w:pStyle w:val="Parasts"/>
              <w:spacing w:after="0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54252E" w:rsidRDefault="002B6E6C" w:rsidP="002F6D02">
            <w:pPr>
              <w:pStyle w:val="Parasts"/>
              <w:spacing w:after="0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2E">
              <w:rPr>
                <w:rFonts w:ascii="Times New Roman" w:hAnsi="Times New Roman"/>
                <w:sz w:val="24"/>
                <w:szCs w:val="24"/>
              </w:rPr>
              <w:t>Lokāla.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54252E" w:rsidRDefault="002B6E6C" w:rsidP="002F6D02">
            <w:pPr>
              <w:pStyle w:val="Parasts"/>
              <w:spacing w:after="0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E6C" w:rsidRDefault="002B6E6C" w:rsidP="002B6E6C">
      <w:pPr>
        <w:jc w:val="both"/>
      </w:pPr>
      <w:r w:rsidRPr="0091322B">
        <w:t>*ja kādas no piedāvātajām telpām atrodas citā ēkā, norādīt to lietošanas nosacījumus un papildu izmaksas, ja tādas ir.</w:t>
      </w:r>
    </w:p>
    <w:p w:rsidR="002B6E6C" w:rsidRDefault="002B6E6C" w:rsidP="002B6E6C">
      <w:pPr>
        <w:overflowPunct w:val="0"/>
        <w:autoSpaceDE w:val="0"/>
        <w:autoSpaceDN w:val="0"/>
        <w:adjustRightInd w:val="0"/>
        <w:ind w:right="141" w:firstLine="720"/>
        <w:jc w:val="both"/>
        <w:textAlignment w:val="baseline"/>
      </w:pPr>
    </w:p>
    <w:p w:rsidR="00F41108" w:rsidRDefault="00F41108">
      <w:bookmarkStart w:id="0" w:name="_GoBack"/>
      <w:bookmarkEnd w:id="0"/>
    </w:p>
    <w:sectPr w:rsidR="00F41108" w:rsidSect="002B6E6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6AF5"/>
    <w:multiLevelType w:val="hybridMultilevel"/>
    <w:tmpl w:val="1E201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A7"/>
    <w:rsid w:val="002B6E6C"/>
    <w:rsid w:val="003D6CA7"/>
    <w:rsid w:val="00F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0D453E-3479-417B-AA10-1455377E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">
    <w:name w:val="Parasts"/>
    <w:rsid w:val="002B6E6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oklusjumarindkopasfonts">
    <w:name w:val="Noklusējuma rindkopas fonts"/>
    <w:rsid w:val="002B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3605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Kalniņa</dc:creator>
  <cp:keywords/>
  <dc:description/>
  <cp:lastModifiedBy>Elita Kalniņa</cp:lastModifiedBy>
  <cp:revision>2</cp:revision>
  <dcterms:created xsi:type="dcterms:W3CDTF">2018-08-14T11:24:00Z</dcterms:created>
  <dcterms:modified xsi:type="dcterms:W3CDTF">2018-08-14T11:39:00Z</dcterms:modified>
</cp:coreProperties>
</file>