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B01F" w14:textId="77777777" w:rsidR="004D0100" w:rsidRDefault="004D0100" w:rsidP="004D0100">
      <w:pPr>
        <w:spacing w:before="120"/>
        <w:ind w:right="850"/>
        <w:jc w:val="center"/>
        <w:rPr>
          <w:b/>
          <w:sz w:val="30"/>
          <w:szCs w:val="30"/>
        </w:rPr>
      </w:pPr>
      <w:r w:rsidRPr="005C31DD">
        <w:rPr>
          <w:b/>
          <w:noProof/>
          <w:sz w:val="30"/>
          <w:szCs w:val="30"/>
        </w:rPr>
        <w:drawing>
          <wp:inline distT="0" distB="0" distL="0" distR="0" wp14:anchorId="3782AC86" wp14:editId="40CA3F72">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01EC8BCD" w14:textId="77777777" w:rsidR="004D0100" w:rsidRPr="00420247" w:rsidRDefault="004D0100" w:rsidP="004D0100">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4D0100" w:rsidRPr="00754A3B" w14:paraId="483C666A" w14:textId="77777777" w:rsidTr="00D45DDA">
        <w:trPr>
          <w:trHeight w:val="569"/>
        </w:trPr>
        <w:tc>
          <w:tcPr>
            <w:tcW w:w="8505" w:type="dxa"/>
          </w:tcPr>
          <w:p w14:paraId="6ABBF895" w14:textId="77777777" w:rsidR="004D0100" w:rsidRPr="00D52B3A" w:rsidRDefault="004D0100" w:rsidP="00D45DDA">
            <w:pPr>
              <w:spacing w:before="120" w:after="120"/>
              <w:jc w:val="center"/>
              <w:rPr>
                <w:sz w:val="16"/>
                <w:szCs w:val="16"/>
              </w:rPr>
            </w:pPr>
            <w:r w:rsidRPr="00D52B3A">
              <w:rPr>
                <w:sz w:val="16"/>
                <w:szCs w:val="16"/>
              </w:rPr>
              <w:t>Jomas iela 1/5, Jūrmala, LV - 2015, tālrunis: 67093816,</w:t>
            </w:r>
            <w:r>
              <w:rPr>
                <w:sz w:val="16"/>
                <w:szCs w:val="16"/>
              </w:rPr>
              <w:t xml:space="preserve"> e-pasts: pasts@jurmala.lv</w:t>
            </w:r>
            <w:r w:rsidRPr="00D52B3A">
              <w:rPr>
                <w:sz w:val="16"/>
                <w:szCs w:val="16"/>
              </w:rPr>
              <w:t>, www.jurmala.lv</w:t>
            </w:r>
          </w:p>
        </w:tc>
      </w:tr>
    </w:tbl>
    <w:p w14:paraId="5031CBC5" w14:textId="77777777" w:rsidR="004D0100" w:rsidRDefault="004D0100" w:rsidP="004D0100">
      <w:pPr>
        <w:spacing w:before="120"/>
        <w:ind w:right="851"/>
        <w:jc w:val="center"/>
        <w:rPr>
          <w:rFonts w:ascii="Times New Roman Bold" w:hAnsi="Times New Roman Bold"/>
          <w:b/>
          <w:caps/>
          <w:sz w:val="26"/>
          <w:szCs w:val="26"/>
        </w:rPr>
      </w:pPr>
      <w:r w:rsidRPr="009962F2">
        <w:rPr>
          <w:rFonts w:ascii="Times New Roman Bold" w:hAnsi="Times New Roman Bold"/>
          <w:b/>
          <w:caps/>
          <w:sz w:val="28"/>
          <w:szCs w:val="28"/>
        </w:rPr>
        <w:t>LĒMUMS</w:t>
      </w:r>
    </w:p>
    <w:p w14:paraId="2163278D" w14:textId="77777777" w:rsidR="004D0100" w:rsidRPr="00C33475" w:rsidRDefault="004D0100" w:rsidP="004D0100">
      <w:pPr>
        <w:spacing w:after="360"/>
        <w:ind w:right="851"/>
        <w:jc w:val="center"/>
        <w:rPr>
          <w:b/>
          <w:szCs w:val="24"/>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3C2B40" w:rsidRPr="00005C7A" w14:paraId="4B19EB9E" w14:textId="77777777" w:rsidTr="0019480B">
        <w:tc>
          <w:tcPr>
            <w:tcW w:w="2943" w:type="dxa"/>
            <w:tcBorders>
              <w:top w:val="nil"/>
              <w:left w:val="nil"/>
              <w:bottom w:val="single" w:sz="4" w:space="0" w:color="auto"/>
              <w:right w:val="nil"/>
            </w:tcBorders>
          </w:tcPr>
          <w:p w14:paraId="1264EF4E" w14:textId="39115C18" w:rsidR="003C2B40" w:rsidRPr="00005C7A" w:rsidRDefault="00C237A4" w:rsidP="0019480B">
            <w:pPr>
              <w:ind w:left="-105"/>
              <w:jc w:val="both"/>
              <w:rPr>
                <w:b/>
                <w:szCs w:val="24"/>
              </w:rPr>
            </w:pPr>
            <w:r>
              <w:rPr>
                <w:b/>
                <w:szCs w:val="24"/>
              </w:rPr>
              <w:t xml:space="preserve">2025. gada </w:t>
            </w:r>
            <w:r w:rsidR="00D51113">
              <w:rPr>
                <w:b/>
                <w:szCs w:val="24"/>
              </w:rPr>
              <w:t>18</w:t>
            </w:r>
            <w:r>
              <w:rPr>
                <w:b/>
                <w:szCs w:val="24"/>
              </w:rPr>
              <w:t>. </w:t>
            </w:r>
            <w:r w:rsidR="00D51113">
              <w:rPr>
                <w:b/>
                <w:szCs w:val="24"/>
              </w:rPr>
              <w:t>dec</w:t>
            </w:r>
            <w:r w:rsidR="00E20F72">
              <w:rPr>
                <w:b/>
                <w:szCs w:val="24"/>
              </w:rPr>
              <w:t>embrī</w:t>
            </w:r>
          </w:p>
        </w:tc>
        <w:tc>
          <w:tcPr>
            <w:tcW w:w="3544" w:type="dxa"/>
            <w:tcBorders>
              <w:top w:val="nil"/>
              <w:left w:val="nil"/>
              <w:bottom w:val="nil"/>
              <w:right w:val="nil"/>
            </w:tcBorders>
          </w:tcPr>
          <w:p w14:paraId="453D3025" w14:textId="77777777" w:rsidR="003C2B40" w:rsidRPr="00005C7A" w:rsidRDefault="003C2B40" w:rsidP="0019480B">
            <w:pPr>
              <w:jc w:val="both"/>
              <w:rPr>
                <w:szCs w:val="24"/>
              </w:rPr>
            </w:pPr>
          </w:p>
        </w:tc>
        <w:tc>
          <w:tcPr>
            <w:tcW w:w="709" w:type="dxa"/>
            <w:tcBorders>
              <w:top w:val="nil"/>
              <w:left w:val="nil"/>
              <w:bottom w:val="nil"/>
              <w:right w:val="nil"/>
            </w:tcBorders>
          </w:tcPr>
          <w:p w14:paraId="576CC6BE" w14:textId="77777777" w:rsidR="003C2B40" w:rsidRPr="00005C7A" w:rsidRDefault="003C2B40" w:rsidP="0019480B">
            <w:pPr>
              <w:rPr>
                <w:b/>
                <w:szCs w:val="24"/>
              </w:rPr>
            </w:pPr>
            <w:r w:rsidRPr="00005C7A">
              <w:rPr>
                <w:b/>
                <w:szCs w:val="24"/>
              </w:rPr>
              <w:t>Nr.</w:t>
            </w:r>
          </w:p>
        </w:tc>
        <w:tc>
          <w:tcPr>
            <w:tcW w:w="2160" w:type="dxa"/>
            <w:tcBorders>
              <w:top w:val="nil"/>
              <w:left w:val="nil"/>
              <w:bottom w:val="single" w:sz="4" w:space="0" w:color="auto"/>
              <w:right w:val="nil"/>
            </w:tcBorders>
          </w:tcPr>
          <w:p w14:paraId="031155EC" w14:textId="0CA80BC1" w:rsidR="003C2B40" w:rsidRPr="00005C7A" w:rsidRDefault="0091450D" w:rsidP="0019480B">
            <w:pPr>
              <w:ind w:right="-101"/>
              <w:jc w:val="right"/>
              <w:rPr>
                <w:b/>
                <w:szCs w:val="24"/>
              </w:rPr>
            </w:pPr>
            <w:r>
              <w:rPr>
                <w:b/>
                <w:szCs w:val="24"/>
              </w:rPr>
              <w:t>637</w:t>
            </w:r>
          </w:p>
        </w:tc>
      </w:tr>
    </w:tbl>
    <w:p w14:paraId="3C70DEAC" w14:textId="77777777" w:rsidR="003C2B40" w:rsidRPr="003846AF" w:rsidRDefault="003C2B40" w:rsidP="003C2B40">
      <w:pPr>
        <w:rPr>
          <w:sz w:val="2"/>
          <w:szCs w:val="2"/>
        </w:rPr>
      </w:pPr>
    </w:p>
    <w:p w14:paraId="511B47E5" w14:textId="77777777" w:rsidR="003C2B40" w:rsidRPr="003846AF" w:rsidRDefault="003C2B40" w:rsidP="003C2B40">
      <w:pPr>
        <w:rPr>
          <w:sz w:val="2"/>
          <w:szCs w:val="2"/>
        </w:rPr>
      </w:pPr>
    </w:p>
    <w:tbl>
      <w:tblPr>
        <w:tblW w:w="0" w:type="auto"/>
        <w:tblLook w:val="0000" w:firstRow="0" w:lastRow="0" w:firstColumn="0" w:lastColumn="0" w:noHBand="0" w:noVBand="0"/>
      </w:tblPr>
      <w:tblGrid>
        <w:gridCol w:w="4679"/>
        <w:gridCol w:w="4676"/>
      </w:tblGrid>
      <w:tr w:rsidR="008F2B83" w:rsidRPr="00005C7A" w14:paraId="24598CCE" w14:textId="77777777" w:rsidTr="008F4CC7">
        <w:tc>
          <w:tcPr>
            <w:tcW w:w="4679" w:type="dxa"/>
          </w:tcPr>
          <w:p w14:paraId="693FAA51" w14:textId="3F7751DC" w:rsidR="008F2B83" w:rsidRPr="00005C7A" w:rsidRDefault="00BE316A" w:rsidP="000F54DC">
            <w:pPr>
              <w:ind w:left="-108"/>
              <w:jc w:val="both"/>
              <w:rPr>
                <w:szCs w:val="24"/>
              </w:rPr>
            </w:pPr>
            <w:r w:rsidRPr="00A00FA5">
              <w:rPr>
                <w:b/>
                <w:bCs/>
                <w:szCs w:val="24"/>
              </w:rPr>
              <w:t xml:space="preserve">Par kolektīvā iesnieguma </w:t>
            </w:r>
            <w:r>
              <w:rPr>
                <w:b/>
                <w:bCs/>
                <w:szCs w:val="24"/>
              </w:rPr>
              <w:t>virzību</w:t>
            </w:r>
          </w:p>
        </w:tc>
        <w:tc>
          <w:tcPr>
            <w:tcW w:w="4676" w:type="dxa"/>
          </w:tcPr>
          <w:p w14:paraId="4A75CD80" w14:textId="25D7B1C6" w:rsidR="008F2B83" w:rsidRPr="00005C7A" w:rsidRDefault="008F2B83" w:rsidP="008F4CC7">
            <w:pPr>
              <w:ind w:right="-116"/>
              <w:jc w:val="right"/>
              <w:rPr>
                <w:szCs w:val="24"/>
              </w:rPr>
            </w:pPr>
            <w:r w:rsidRPr="00005C7A">
              <w:rPr>
                <w:szCs w:val="24"/>
              </w:rPr>
              <w:t>(</w:t>
            </w:r>
            <w:smartTag w:uri="schemas-tilde-lv/tildestengine" w:element="veidnes">
              <w:smartTagPr>
                <w:attr w:name="text" w:val="protokols"/>
                <w:attr w:name="baseform" w:val="protokols"/>
                <w:attr w:name="id" w:val="-1"/>
              </w:smartTagPr>
              <w:r w:rsidRPr="00005C7A">
                <w:rPr>
                  <w:szCs w:val="24"/>
                </w:rPr>
                <w:t>protokols</w:t>
              </w:r>
            </w:smartTag>
            <w:r w:rsidRPr="00005C7A">
              <w:rPr>
                <w:szCs w:val="24"/>
              </w:rPr>
              <w:t xml:space="preserve"> Nr. </w:t>
            </w:r>
            <w:r w:rsidR="00557FEE">
              <w:rPr>
                <w:szCs w:val="24"/>
              </w:rPr>
              <w:t>2</w:t>
            </w:r>
            <w:r w:rsidR="00D51113">
              <w:rPr>
                <w:szCs w:val="24"/>
              </w:rPr>
              <w:t>2</w:t>
            </w:r>
            <w:r w:rsidRPr="00005C7A">
              <w:rPr>
                <w:szCs w:val="24"/>
              </w:rPr>
              <w:t xml:space="preserve">, </w:t>
            </w:r>
            <w:r w:rsidR="0091450D">
              <w:rPr>
                <w:szCs w:val="24"/>
              </w:rPr>
              <w:t>1</w:t>
            </w:r>
            <w:r w:rsidRPr="00005C7A">
              <w:rPr>
                <w:szCs w:val="24"/>
              </w:rPr>
              <w:t>. punkts)</w:t>
            </w:r>
          </w:p>
        </w:tc>
      </w:tr>
    </w:tbl>
    <w:p w14:paraId="5F47CBF3" w14:textId="77777777" w:rsidR="00DE7F57" w:rsidRDefault="00DE7F57" w:rsidP="00FF69EA">
      <w:pPr>
        <w:pStyle w:val="BodyTextIndent"/>
        <w:spacing w:after="0"/>
        <w:ind w:left="0"/>
        <w:jc w:val="both"/>
        <w:rPr>
          <w:szCs w:val="24"/>
        </w:rPr>
      </w:pPr>
    </w:p>
    <w:p w14:paraId="27AFA480" w14:textId="53635F41" w:rsidR="00BE316A" w:rsidRPr="00CB5249" w:rsidRDefault="00BE316A" w:rsidP="00FF69EA">
      <w:pPr>
        <w:overflowPunct/>
        <w:autoSpaceDE/>
        <w:autoSpaceDN/>
        <w:adjustRightInd/>
        <w:ind w:firstLine="709"/>
        <w:jc w:val="both"/>
        <w:textAlignment w:val="auto"/>
        <w:rPr>
          <w:rFonts w:eastAsia="Aptos"/>
          <w:kern w:val="2"/>
          <w:szCs w:val="24"/>
          <w:lang w:eastAsia="en-US"/>
          <w14:ligatures w14:val="standardContextual"/>
        </w:rPr>
      </w:pPr>
      <w:r w:rsidRPr="00CB5249">
        <w:rPr>
          <w:rFonts w:eastAsia="Aptos"/>
          <w:kern w:val="2"/>
          <w:szCs w:val="24"/>
          <w:lang w:eastAsia="en-US"/>
          <w14:ligatures w14:val="standardContextual"/>
        </w:rPr>
        <w:t>Jūrmalas valstspilsētas administrācijā (turpmāk – Administrācija) 2025.</w:t>
      </w:r>
      <w:r>
        <w:rPr>
          <w:rFonts w:eastAsia="Aptos"/>
          <w:kern w:val="2"/>
          <w:szCs w:val="24"/>
          <w:lang w:eastAsia="en-US"/>
          <w14:ligatures w14:val="standardContextual"/>
        </w:rPr>
        <w:t> </w:t>
      </w:r>
      <w:r w:rsidRPr="00CB5249">
        <w:rPr>
          <w:rFonts w:eastAsia="Aptos"/>
          <w:kern w:val="2"/>
          <w:szCs w:val="24"/>
          <w:lang w:eastAsia="en-US"/>
          <w14:ligatures w14:val="standardContextual"/>
        </w:rPr>
        <w:t>gada 2</w:t>
      </w:r>
      <w:r>
        <w:rPr>
          <w:rFonts w:eastAsia="Aptos"/>
          <w:kern w:val="2"/>
          <w:szCs w:val="24"/>
          <w:lang w:eastAsia="en-US"/>
          <w14:ligatures w14:val="standardContextual"/>
        </w:rPr>
        <w:t>3</w:t>
      </w:r>
      <w:r w:rsidRPr="00CB5249">
        <w:rPr>
          <w:rFonts w:eastAsia="Aptos"/>
          <w:kern w:val="2"/>
          <w:szCs w:val="24"/>
          <w:lang w:eastAsia="en-US"/>
          <w14:ligatures w14:val="standardContextual"/>
        </w:rPr>
        <w:t>.</w:t>
      </w:r>
      <w:r>
        <w:rPr>
          <w:rFonts w:eastAsia="Aptos"/>
          <w:kern w:val="2"/>
          <w:szCs w:val="24"/>
          <w:lang w:eastAsia="en-US"/>
          <w14:ligatures w14:val="standardContextual"/>
        </w:rPr>
        <w:t> </w:t>
      </w:r>
      <w:r w:rsidRPr="00CB5249">
        <w:rPr>
          <w:rFonts w:eastAsia="Aptos"/>
          <w:kern w:val="2"/>
          <w:szCs w:val="24"/>
          <w:lang w:eastAsia="en-US"/>
          <w14:ligatures w14:val="standardContextual"/>
        </w:rPr>
        <w:t xml:space="preserve">oktobrī tika saņemts kolektīvais iesniegums par platformā ManaBalss.lv publicēto parakstu vākšanas iniciatīvas </w:t>
      </w:r>
      <w:r>
        <w:t xml:space="preserve">“Pieprasām atcelt </w:t>
      </w:r>
      <w:r w:rsidRPr="00BE316A">
        <w:t>5</w:t>
      </w:r>
      <w:r>
        <w:t> </w:t>
      </w:r>
      <w:r w:rsidRPr="007B4E78">
        <w:rPr>
          <w:i/>
          <w:iCs/>
        </w:rPr>
        <w:t>euro</w:t>
      </w:r>
      <w:r>
        <w:t xml:space="preserve"> iebraukšanas maksu Jūrmalā!” </w:t>
      </w:r>
      <w:r w:rsidRPr="00CB5249">
        <w:rPr>
          <w:rFonts w:eastAsia="Aptos"/>
          <w:kern w:val="2"/>
          <w:szCs w:val="24"/>
          <w:lang w:eastAsia="en-US"/>
          <w14:ligatures w14:val="standardContextual"/>
        </w:rPr>
        <w:t xml:space="preserve">atbalstu, kuru ir </w:t>
      </w:r>
      <w:r w:rsidRPr="00481D46">
        <w:rPr>
          <w:rFonts w:eastAsia="Aptos"/>
          <w:kern w:val="2"/>
          <w:szCs w:val="24"/>
          <w:lang w:eastAsia="en-US"/>
          <w14:ligatures w14:val="standardContextual"/>
        </w:rPr>
        <w:t>parakstījušas 436</w:t>
      </w:r>
      <w:r>
        <w:rPr>
          <w:rFonts w:eastAsia="Aptos"/>
          <w:kern w:val="2"/>
          <w:szCs w:val="24"/>
          <w:lang w:eastAsia="en-US"/>
          <w14:ligatures w14:val="standardContextual"/>
        </w:rPr>
        <w:t> </w:t>
      </w:r>
      <w:r w:rsidRPr="00CB5249">
        <w:rPr>
          <w:rFonts w:eastAsia="Aptos"/>
          <w:kern w:val="2"/>
          <w:szCs w:val="24"/>
          <w:lang w:eastAsia="en-US"/>
          <w14:ligatures w14:val="standardContextual"/>
        </w:rPr>
        <w:t>personas (reģistrēts Administrācijas lietvedības sistēmā ar Nr.</w:t>
      </w:r>
      <w:r w:rsidR="00FF69EA">
        <w:rPr>
          <w:rFonts w:eastAsia="Aptos"/>
          <w:kern w:val="2"/>
          <w:szCs w:val="24"/>
          <w:lang w:eastAsia="en-US"/>
          <w14:ligatures w14:val="standardContextual"/>
        </w:rPr>
        <w:t> </w:t>
      </w:r>
      <w:r w:rsidRPr="00CB5249">
        <w:rPr>
          <w:rFonts w:eastAsia="Aptos"/>
          <w:kern w:val="2"/>
          <w:szCs w:val="24"/>
          <w:lang w:eastAsia="en-US"/>
          <w14:ligatures w14:val="standardContextual"/>
        </w:rPr>
        <w:t>1.1-3</w:t>
      </w:r>
      <w:r>
        <w:rPr>
          <w:rFonts w:eastAsia="Aptos"/>
          <w:kern w:val="2"/>
          <w:szCs w:val="24"/>
          <w:lang w:eastAsia="en-US"/>
          <w14:ligatures w14:val="standardContextual"/>
        </w:rPr>
        <w:t>7</w:t>
      </w:r>
      <w:r w:rsidRPr="00CB5249">
        <w:rPr>
          <w:rFonts w:eastAsia="Aptos"/>
          <w:kern w:val="2"/>
          <w:szCs w:val="24"/>
          <w:lang w:eastAsia="en-US"/>
          <w14:ligatures w14:val="standardContextual"/>
        </w:rPr>
        <w:t>/25S</w:t>
      </w:r>
      <w:r>
        <w:rPr>
          <w:rFonts w:eastAsia="Aptos"/>
          <w:kern w:val="2"/>
          <w:szCs w:val="24"/>
          <w:lang w:eastAsia="en-US"/>
          <w14:ligatures w14:val="standardContextual"/>
        </w:rPr>
        <w:t>-13056</w:t>
      </w:r>
      <w:r w:rsidRPr="00CB5249">
        <w:rPr>
          <w:rFonts w:eastAsia="Aptos"/>
          <w:kern w:val="2"/>
          <w:szCs w:val="24"/>
          <w:lang w:eastAsia="en-US"/>
          <w14:ligatures w14:val="standardContextual"/>
        </w:rPr>
        <w:t xml:space="preserve">; turpmāk – kolektīvais iesniegums). </w:t>
      </w:r>
    </w:p>
    <w:p w14:paraId="18467CCC" w14:textId="690F61DC" w:rsidR="00BE316A" w:rsidRPr="00CB5249" w:rsidRDefault="00BE316A" w:rsidP="00FF69EA">
      <w:pPr>
        <w:overflowPunct/>
        <w:autoSpaceDE/>
        <w:autoSpaceDN/>
        <w:adjustRightInd/>
        <w:ind w:firstLine="709"/>
        <w:jc w:val="both"/>
        <w:textAlignment w:val="auto"/>
        <w:rPr>
          <w:rFonts w:eastAsia="Aptos"/>
          <w:kern w:val="2"/>
          <w:szCs w:val="24"/>
          <w:lang w:eastAsia="en-US"/>
          <w14:ligatures w14:val="standardContextual"/>
        </w:rPr>
      </w:pPr>
      <w:r w:rsidRPr="00CB5249">
        <w:rPr>
          <w:rFonts w:eastAsia="Aptos"/>
          <w:kern w:val="2"/>
          <w:szCs w:val="24"/>
          <w:lang w:eastAsia="en-US"/>
          <w14:ligatures w14:val="standardContextual"/>
        </w:rPr>
        <w:t xml:space="preserve">Administrācija </w:t>
      </w:r>
      <w:r w:rsidRPr="001201D8">
        <w:rPr>
          <w:rFonts w:eastAsia="Aptos"/>
          <w:kern w:val="2"/>
          <w:szCs w:val="24"/>
          <w:lang w:eastAsia="en-US"/>
          <w14:ligatures w14:val="standardContextual"/>
        </w:rPr>
        <w:t>atbilstoši Pašvaldību likuma 57.</w:t>
      </w:r>
      <w:r>
        <w:rPr>
          <w:rFonts w:eastAsia="Aptos"/>
          <w:kern w:val="2"/>
          <w:szCs w:val="24"/>
          <w:lang w:eastAsia="en-US"/>
          <w14:ligatures w14:val="standardContextual"/>
        </w:rPr>
        <w:t> </w:t>
      </w:r>
      <w:r w:rsidRPr="001201D8">
        <w:rPr>
          <w:rFonts w:eastAsia="Aptos"/>
          <w:kern w:val="2"/>
          <w:szCs w:val="24"/>
          <w:lang w:eastAsia="en-US"/>
          <w14:ligatures w14:val="standardContextual"/>
        </w:rPr>
        <w:t xml:space="preserve">panta pirmās daļas noteikumiem kolektīvā </w:t>
      </w:r>
      <w:r w:rsidRPr="00CB5249">
        <w:rPr>
          <w:rFonts w:eastAsia="Aptos"/>
          <w:kern w:val="2"/>
          <w:szCs w:val="24"/>
          <w:lang w:eastAsia="en-US"/>
          <w14:ligatures w14:val="standardContextual"/>
        </w:rPr>
        <w:t>iesnieguma parakstītāju datus nosūtīja Pilsonības un migrācijas lietu pārvaldei, lai pārliecinātos par parakstītāju atbilstību Pašvaldību likuma 56.</w:t>
      </w:r>
      <w:r>
        <w:rPr>
          <w:rFonts w:eastAsia="Aptos"/>
          <w:kern w:val="2"/>
          <w:szCs w:val="24"/>
          <w:lang w:eastAsia="en-US"/>
          <w14:ligatures w14:val="standardContextual"/>
        </w:rPr>
        <w:t> </w:t>
      </w:r>
      <w:r w:rsidRPr="00CB5249">
        <w:rPr>
          <w:rFonts w:eastAsia="Aptos"/>
          <w:kern w:val="2"/>
          <w:szCs w:val="24"/>
          <w:lang w:eastAsia="en-US"/>
          <w14:ligatures w14:val="standardContextual"/>
        </w:rPr>
        <w:t xml:space="preserve">panta pirmās daļas prasībām. </w:t>
      </w:r>
    </w:p>
    <w:p w14:paraId="632E5DB9" w14:textId="5DEC3497" w:rsidR="00BE316A" w:rsidRPr="00CB5249" w:rsidRDefault="00BE316A" w:rsidP="00FF69EA">
      <w:pPr>
        <w:overflowPunct/>
        <w:autoSpaceDE/>
        <w:autoSpaceDN/>
        <w:adjustRightInd/>
        <w:ind w:firstLine="709"/>
        <w:jc w:val="both"/>
        <w:textAlignment w:val="auto"/>
        <w:rPr>
          <w:rFonts w:eastAsia="Aptos"/>
          <w:kern w:val="2"/>
          <w:szCs w:val="24"/>
          <w:lang w:eastAsia="en-US"/>
          <w14:ligatures w14:val="standardContextual"/>
        </w:rPr>
      </w:pPr>
      <w:r w:rsidRPr="00CB5249">
        <w:rPr>
          <w:rFonts w:eastAsia="Aptos"/>
          <w:kern w:val="2"/>
          <w:szCs w:val="24"/>
          <w:lang w:eastAsia="en-US"/>
          <w14:ligatures w14:val="standardContextual"/>
        </w:rPr>
        <w:t>Saskaņā ar Pilsonības un migrācijas lietu pārvaldes 2025.</w:t>
      </w:r>
      <w:r>
        <w:rPr>
          <w:rFonts w:eastAsia="Aptos"/>
          <w:kern w:val="2"/>
          <w:szCs w:val="24"/>
          <w:lang w:eastAsia="en-US"/>
          <w14:ligatures w14:val="standardContextual"/>
        </w:rPr>
        <w:t> </w:t>
      </w:r>
      <w:r w:rsidRPr="00CB5249">
        <w:rPr>
          <w:rFonts w:eastAsia="Aptos"/>
          <w:kern w:val="2"/>
          <w:szCs w:val="24"/>
          <w:lang w:eastAsia="en-US"/>
          <w14:ligatures w14:val="standardContextual"/>
        </w:rPr>
        <w:t xml:space="preserve">gada </w:t>
      </w:r>
      <w:r>
        <w:rPr>
          <w:rFonts w:eastAsia="Aptos"/>
          <w:kern w:val="2"/>
          <w:szCs w:val="24"/>
          <w:lang w:eastAsia="en-US"/>
          <w14:ligatures w14:val="standardContextual"/>
        </w:rPr>
        <w:t>4. decembra</w:t>
      </w:r>
      <w:r w:rsidRPr="00CB5249">
        <w:rPr>
          <w:rFonts w:eastAsia="Aptos"/>
          <w:kern w:val="2"/>
          <w:szCs w:val="24"/>
          <w:lang w:eastAsia="en-US"/>
          <w14:ligatures w14:val="standardContextual"/>
        </w:rPr>
        <w:t xml:space="preserve"> atbildē (reģistrēts Administrācijas lietvedības sistēmā ar Nr.</w:t>
      </w:r>
      <w:r>
        <w:rPr>
          <w:rFonts w:eastAsia="Aptos"/>
          <w:kern w:val="2"/>
          <w:szCs w:val="24"/>
          <w:lang w:eastAsia="en-US"/>
          <w14:ligatures w14:val="standardContextual"/>
        </w:rPr>
        <w:t> 1.1-37/258-15029</w:t>
      </w:r>
      <w:r w:rsidRPr="00CB5249">
        <w:rPr>
          <w:rFonts w:eastAsia="Aptos"/>
          <w:kern w:val="2"/>
          <w:szCs w:val="24"/>
          <w:lang w:eastAsia="en-US"/>
          <w14:ligatures w14:val="standardContextual"/>
        </w:rPr>
        <w:t xml:space="preserve">) sniegto informāciju no </w:t>
      </w:r>
      <w:r w:rsidRPr="00481D46">
        <w:rPr>
          <w:rFonts w:eastAsia="Aptos"/>
          <w:kern w:val="2"/>
          <w:szCs w:val="24"/>
          <w:lang w:eastAsia="en-US"/>
          <w14:ligatures w14:val="standardContextual"/>
        </w:rPr>
        <w:t>436</w:t>
      </w:r>
      <w:r>
        <w:rPr>
          <w:rFonts w:eastAsia="Aptos"/>
          <w:kern w:val="2"/>
          <w:szCs w:val="24"/>
          <w:lang w:eastAsia="en-US"/>
          <w14:ligatures w14:val="standardContextual"/>
        </w:rPr>
        <w:t> </w:t>
      </w:r>
      <w:r w:rsidRPr="00481D46">
        <w:rPr>
          <w:rFonts w:eastAsia="Aptos"/>
          <w:kern w:val="2"/>
          <w:szCs w:val="24"/>
          <w:lang w:eastAsia="en-US"/>
          <w14:ligatures w14:val="standardContextual"/>
        </w:rPr>
        <w:t>apstrādātajiem personas kodiem pēc Fizisko personu reģistra datiem 342</w:t>
      </w:r>
      <w:r>
        <w:rPr>
          <w:rFonts w:eastAsia="Aptos"/>
          <w:kern w:val="2"/>
          <w:szCs w:val="24"/>
          <w:lang w:eastAsia="en-US"/>
          <w14:ligatures w14:val="standardContextual"/>
        </w:rPr>
        <w:t> </w:t>
      </w:r>
      <w:r w:rsidRPr="00481D46">
        <w:rPr>
          <w:rFonts w:eastAsia="Aptos"/>
          <w:kern w:val="2"/>
          <w:szCs w:val="24"/>
          <w:lang w:eastAsia="en-US"/>
          <w14:ligatures w14:val="standardContextual"/>
        </w:rPr>
        <w:t>personas atbilst parakstītāja statusam, un</w:t>
      </w:r>
      <w:r>
        <w:rPr>
          <w:rFonts w:eastAsia="Aptos"/>
          <w:kern w:val="2"/>
          <w:szCs w:val="24"/>
          <w:lang w:eastAsia="en-US"/>
          <w14:ligatures w14:val="standardContextual"/>
        </w:rPr>
        <w:t>,</w:t>
      </w:r>
      <w:r w:rsidRPr="00481D46">
        <w:rPr>
          <w:rFonts w:eastAsia="Aptos"/>
          <w:kern w:val="2"/>
          <w:szCs w:val="24"/>
          <w:lang w:eastAsia="en-US"/>
          <w14:ligatures w14:val="standardContextual"/>
        </w:rPr>
        <w:t xml:space="preserve"> pārbaudot Pašvaldību likumā noteiktajā kārtībā kolektīvā iesnieguma parakstītājiem reģistrētos nekustamos īpašumus Jūrmalas valstspilsētas pašvaldības administratīvajā teritorijā, no 436</w:t>
      </w:r>
      <w:r>
        <w:rPr>
          <w:rFonts w:eastAsia="Aptos"/>
          <w:kern w:val="2"/>
          <w:szCs w:val="24"/>
          <w:lang w:eastAsia="en-US"/>
          <w14:ligatures w14:val="standardContextual"/>
        </w:rPr>
        <w:t> </w:t>
      </w:r>
      <w:r w:rsidRPr="00CB5249">
        <w:rPr>
          <w:rFonts w:eastAsia="Aptos"/>
          <w:kern w:val="2"/>
          <w:szCs w:val="24"/>
          <w:lang w:eastAsia="en-US"/>
          <w14:ligatures w14:val="standardContextual"/>
        </w:rPr>
        <w:t xml:space="preserve">apstrādātajiem personas kodiem </w:t>
      </w:r>
      <w:r>
        <w:rPr>
          <w:rFonts w:eastAsia="Aptos"/>
          <w:kern w:val="2"/>
          <w:szCs w:val="24"/>
          <w:lang w:eastAsia="en-US"/>
          <w14:ligatures w14:val="standardContextual"/>
        </w:rPr>
        <w:t>353 </w:t>
      </w:r>
      <w:r w:rsidRPr="00CB5249">
        <w:rPr>
          <w:rFonts w:eastAsia="Aptos"/>
          <w:kern w:val="2"/>
          <w:szCs w:val="24"/>
          <w:lang w:eastAsia="en-US"/>
          <w14:ligatures w14:val="standardContextual"/>
        </w:rPr>
        <w:t xml:space="preserve">personas atbilst parakstītāja statusam. </w:t>
      </w:r>
    </w:p>
    <w:p w14:paraId="04CE6438" w14:textId="7E74EE20" w:rsidR="00BE316A" w:rsidRPr="00CB5249" w:rsidRDefault="00BE316A" w:rsidP="00FF69EA">
      <w:pPr>
        <w:overflowPunct/>
        <w:autoSpaceDE/>
        <w:autoSpaceDN/>
        <w:adjustRightInd/>
        <w:ind w:firstLine="709"/>
        <w:jc w:val="both"/>
        <w:textAlignment w:val="auto"/>
        <w:rPr>
          <w:rFonts w:eastAsia="Aptos"/>
          <w:kern w:val="2"/>
          <w:szCs w:val="24"/>
          <w:lang w:eastAsia="en-US"/>
          <w14:ligatures w14:val="standardContextual"/>
        </w:rPr>
      </w:pPr>
      <w:r w:rsidRPr="00CB5249">
        <w:rPr>
          <w:rFonts w:eastAsia="Aptos"/>
          <w:kern w:val="2"/>
          <w:szCs w:val="24"/>
          <w:lang w:eastAsia="en-US"/>
          <w14:ligatures w14:val="standardContextual"/>
        </w:rPr>
        <w:t>Ievērojot iepriekš minēto, secināms, ka kolektīvais iesniegums atbilst Pašvaldību likuma 56.</w:t>
      </w:r>
      <w:r>
        <w:rPr>
          <w:rFonts w:eastAsia="Aptos"/>
          <w:kern w:val="2"/>
          <w:szCs w:val="24"/>
          <w:lang w:eastAsia="en-US"/>
          <w14:ligatures w14:val="standardContextual"/>
        </w:rPr>
        <w:t> </w:t>
      </w:r>
      <w:r w:rsidRPr="00CB5249">
        <w:rPr>
          <w:rFonts w:eastAsia="Aptos"/>
          <w:kern w:val="2"/>
          <w:szCs w:val="24"/>
          <w:lang w:eastAsia="en-US"/>
          <w14:ligatures w14:val="standardContextual"/>
        </w:rPr>
        <w:t>panta otrās daļas 2.</w:t>
      </w:r>
      <w:r>
        <w:rPr>
          <w:rFonts w:eastAsia="Aptos"/>
          <w:kern w:val="2"/>
          <w:szCs w:val="24"/>
          <w:lang w:eastAsia="en-US"/>
          <w14:ligatures w14:val="standardContextual"/>
        </w:rPr>
        <w:t> </w:t>
      </w:r>
      <w:r w:rsidRPr="00CB5249">
        <w:rPr>
          <w:rFonts w:eastAsia="Aptos"/>
          <w:kern w:val="2"/>
          <w:szCs w:val="24"/>
          <w:lang w:eastAsia="en-US"/>
          <w14:ligatures w14:val="standardContextual"/>
        </w:rPr>
        <w:t>punkta nosacījumiem, kas nosaka, ka kolektīvā iesnieguma iesniedzēju skaitam Jūrmalas valstspilsētas pašvaldībā ir jābūt vismaz 300</w:t>
      </w:r>
      <w:r>
        <w:rPr>
          <w:rFonts w:eastAsia="Aptos"/>
          <w:kern w:val="2"/>
          <w:szCs w:val="24"/>
          <w:lang w:eastAsia="en-US"/>
          <w14:ligatures w14:val="standardContextual"/>
        </w:rPr>
        <w:t> </w:t>
      </w:r>
      <w:r w:rsidRPr="00CB5249">
        <w:rPr>
          <w:rFonts w:eastAsia="Aptos"/>
          <w:kern w:val="2"/>
          <w:szCs w:val="24"/>
          <w:lang w:eastAsia="en-US"/>
          <w14:ligatures w14:val="standardContextual"/>
        </w:rPr>
        <w:t xml:space="preserve">vai vairāk. </w:t>
      </w:r>
    </w:p>
    <w:p w14:paraId="7CE75BEE" w14:textId="441C35D5" w:rsidR="00BE316A" w:rsidRDefault="00BE316A" w:rsidP="00FF69EA">
      <w:pPr>
        <w:overflowPunct/>
        <w:autoSpaceDE/>
        <w:autoSpaceDN/>
        <w:adjustRightInd/>
        <w:ind w:firstLine="709"/>
        <w:jc w:val="both"/>
        <w:textAlignment w:val="auto"/>
        <w:rPr>
          <w:rFonts w:eastAsia="Aptos"/>
          <w:kern w:val="2"/>
          <w:szCs w:val="24"/>
          <w:lang w:eastAsia="en-US"/>
          <w14:ligatures w14:val="standardContextual"/>
        </w:rPr>
      </w:pPr>
      <w:r w:rsidRPr="00CB5249">
        <w:rPr>
          <w:rFonts w:eastAsia="Aptos"/>
          <w:kern w:val="2"/>
          <w:szCs w:val="24"/>
          <w:lang w:eastAsia="en-US"/>
          <w14:ligatures w14:val="standardContextual"/>
        </w:rPr>
        <w:t>Saskaņā ar Pašvaldību likuma 57.</w:t>
      </w:r>
      <w:r>
        <w:rPr>
          <w:rFonts w:eastAsia="Aptos"/>
          <w:kern w:val="2"/>
          <w:szCs w:val="24"/>
          <w:lang w:eastAsia="en-US"/>
          <w14:ligatures w14:val="standardContextual"/>
        </w:rPr>
        <w:t> </w:t>
      </w:r>
      <w:r w:rsidRPr="00CB5249">
        <w:rPr>
          <w:rFonts w:eastAsia="Aptos"/>
          <w:kern w:val="2"/>
          <w:szCs w:val="24"/>
          <w:lang w:eastAsia="en-US"/>
          <w14:ligatures w14:val="standardContextual"/>
        </w:rPr>
        <w:t xml:space="preserve">panta trešo daļu, atbilstoši kolektīvā iesnieguma saturam dome lemj par iesnieguma turpmāko virzību. </w:t>
      </w:r>
    </w:p>
    <w:p w14:paraId="52BEC461" w14:textId="5DA53F22" w:rsidR="00BE316A" w:rsidRDefault="00BE316A" w:rsidP="00FF69EA">
      <w:pPr>
        <w:overflowPunct/>
        <w:autoSpaceDE/>
        <w:autoSpaceDN/>
        <w:adjustRightInd/>
        <w:ind w:firstLine="709"/>
        <w:jc w:val="both"/>
        <w:textAlignment w:val="auto"/>
        <w:rPr>
          <w:rFonts w:eastAsia="Aptos"/>
          <w:kern w:val="2"/>
          <w:szCs w:val="24"/>
          <w:lang w:eastAsia="en-US"/>
          <w14:ligatures w14:val="standardContextual"/>
        </w:rPr>
      </w:pPr>
      <w:r>
        <w:rPr>
          <w:rFonts w:eastAsia="Aptos"/>
          <w:kern w:val="2"/>
          <w:szCs w:val="24"/>
          <w:lang w:eastAsia="en-US"/>
          <w14:ligatures w14:val="standardContextual"/>
        </w:rPr>
        <w:t>Jūrmalas dome 2025. gada 25. septembrī apstiprinājusi saistošos noteikumus Nr. 29 “Grozījumi Jūrmalas domes 2023. gada 29. jūnija saistošajos noteikumos Nr. 13 “Par transportlīdzekļu iebraukšanu īpaša režīma zonā Jūrmalas valstspilsētas administratīvajā teritorijā”” (turpmāk – Saistošie noteikumi), tostarp aktualizējot Jūrmalas valstspilsētas pašvaldības nodevas likmes par iebraukšanu īpaša režīma zonā Jūrmalā, kā arī nosakot nodevu vienai dienai 5 </w:t>
      </w:r>
      <w:r w:rsidRPr="00950FA8">
        <w:rPr>
          <w:rFonts w:eastAsia="Aptos"/>
          <w:i/>
          <w:iCs/>
          <w:kern w:val="2"/>
          <w:szCs w:val="24"/>
          <w:lang w:eastAsia="en-US"/>
          <w14:ligatures w14:val="standardContextual"/>
        </w:rPr>
        <w:t>euro</w:t>
      </w:r>
      <w:r>
        <w:rPr>
          <w:rFonts w:eastAsia="Aptos"/>
          <w:kern w:val="2"/>
          <w:szCs w:val="24"/>
          <w:lang w:eastAsia="en-US"/>
          <w14:ligatures w14:val="standardContextual"/>
        </w:rPr>
        <w:t xml:space="preserve"> apmērā līdzšinējo 3 </w:t>
      </w:r>
      <w:r w:rsidRPr="00F41160">
        <w:rPr>
          <w:rFonts w:eastAsia="Aptos"/>
          <w:i/>
          <w:iCs/>
          <w:kern w:val="2"/>
          <w:szCs w:val="24"/>
          <w:lang w:eastAsia="en-US"/>
          <w14:ligatures w14:val="standardContextual"/>
        </w:rPr>
        <w:t>euro</w:t>
      </w:r>
      <w:r>
        <w:rPr>
          <w:rFonts w:eastAsia="Aptos"/>
          <w:kern w:val="2"/>
          <w:szCs w:val="24"/>
          <w:lang w:eastAsia="en-US"/>
          <w14:ligatures w14:val="standardContextual"/>
        </w:rPr>
        <w:t xml:space="preserve"> vietā. </w:t>
      </w:r>
    </w:p>
    <w:p w14:paraId="7B808E15" w14:textId="77777777" w:rsidR="00BE316A" w:rsidRDefault="00BE316A" w:rsidP="00FF69EA">
      <w:pPr>
        <w:overflowPunct/>
        <w:autoSpaceDE/>
        <w:autoSpaceDN/>
        <w:adjustRightInd/>
        <w:ind w:firstLine="709"/>
        <w:jc w:val="both"/>
        <w:textAlignment w:val="auto"/>
        <w:rPr>
          <w:rFonts w:eastAsia="Aptos"/>
          <w:kern w:val="2"/>
          <w:szCs w:val="24"/>
          <w:lang w:eastAsia="en-US"/>
          <w14:ligatures w14:val="standardContextual"/>
        </w:rPr>
      </w:pPr>
      <w:r>
        <w:rPr>
          <w:rFonts w:eastAsia="Aptos"/>
          <w:kern w:val="2"/>
          <w:szCs w:val="24"/>
          <w:lang w:eastAsia="en-US"/>
          <w14:ligatures w14:val="standardContextual"/>
        </w:rPr>
        <w:t xml:space="preserve">Atbilstoši Saistošo noteikumu paskaidrojuma rakstā norādītajam, šo noteikumu </w:t>
      </w:r>
      <w:proofErr w:type="spellStart"/>
      <w:r>
        <w:rPr>
          <w:rFonts w:eastAsia="Aptos"/>
          <w:kern w:val="2"/>
          <w:szCs w:val="24"/>
          <w:lang w:eastAsia="en-US"/>
          <w14:ligatures w14:val="standardContextual"/>
        </w:rPr>
        <w:t>virsmērķis</w:t>
      </w:r>
      <w:proofErr w:type="spellEnd"/>
      <w:r>
        <w:rPr>
          <w:rFonts w:eastAsia="Aptos"/>
          <w:kern w:val="2"/>
          <w:szCs w:val="24"/>
          <w:lang w:eastAsia="en-US"/>
          <w14:ligatures w14:val="standardContextual"/>
        </w:rPr>
        <w:t xml:space="preserve"> ir īpaša režīma zonas aizsardzība no transportlīdzekļu nelabvēlīgās ietekmes, regulējot transportlīdzekļu satiksmes intensitāti Jūrmalas valstspilsētas administratīvajā teritorijā, lai nodrošinātu vides kvalitātes saglabāšanu un iedzīvotāju veselības aizsardzību un drošību.</w:t>
      </w:r>
    </w:p>
    <w:p w14:paraId="0DD7BB76" w14:textId="26C2D10E" w:rsidR="00BE316A" w:rsidRDefault="00BE316A" w:rsidP="00FF69EA">
      <w:pPr>
        <w:overflowPunct/>
        <w:autoSpaceDE/>
        <w:autoSpaceDN/>
        <w:adjustRightInd/>
        <w:ind w:firstLine="709"/>
        <w:jc w:val="both"/>
        <w:textAlignment w:val="auto"/>
        <w:rPr>
          <w:szCs w:val="24"/>
          <w:shd w:val="clear" w:color="auto" w:fill="FFFFFF"/>
        </w:rPr>
      </w:pPr>
      <w:r w:rsidRPr="00C23CF9">
        <w:rPr>
          <w:rFonts w:eastAsia="Aptos"/>
          <w:kern w:val="2"/>
          <w:szCs w:val="24"/>
          <w:lang w:eastAsia="en-US"/>
          <w14:ligatures w14:val="standardContextual"/>
        </w:rPr>
        <w:t>Atbilstoši Pašvaldību likuma 46. panta trešajā daļā noteiktajam, S</w:t>
      </w:r>
      <w:r w:rsidRPr="00C23CF9">
        <w:rPr>
          <w:szCs w:val="24"/>
          <w:shd w:val="clear" w:color="auto" w:fill="FFFFFF"/>
        </w:rPr>
        <w:t>aistošo noteikumu projekts un tam pievienotais paskaidrojuma raksts tika publicēts pašvaldības oficiālajā tīmekļvietnē sabiedrības viedokļa noskaidrošanai. Tika saņemts 61</w:t>
      </w:r>
      <w:r>
        <w:rPr>
          <w:szCs w:val="24"/>
          <w:shd w:val="clear" w:color="auto" w:fill="FFFFFF"/>
        </w:rPr>
        <w:t> </w:t>
      </w:r>
      <w:r w:rsidRPr="00C23CF9">
        <w:rPr>
          <w:szCs w:val="24"/>
          <w:shd w:val="clear" w:color="auto" w:fill="FFFFFF"/>
        </w:rPr>
        <w:t xml:space="preserve">iesniegums ar sabiedrības priekšlikumiem, iebildumiem vai komentāriem. </w:t>
      </w:r>
      <w:r>
        <w:rPr>
          <w:szCs w:val="24"/>
          <w:shd w:val="clear" w:color="auto" w:fill="FFFFFF"/>
        </w:rPr>
        <w:t>Saņemtie</w:t>
      </w:r>
      <w:r w:rsidRPr="00C23CF9">
        <w:rPr>
          <w:szCs w:val="24"/>
          <w:shd w:val="clear" w:color="auto" w:fill="FFFFFF"/>
        </w:rPr>
        <w:t xml:space="preserve"> viedokļi tika apkopoti, izvērtēti un </w:t>
      </w:r>
      <w:r>
        <w:rPr>
          <w:szCs w:val="24"/>
          <w:shd w:val="clear" w:color="auto" w:fill="FFFFFF"/>
        </w:rPr>
        <w:t>atspoguļoti</w:t>
      </w:r>
      <w:r w:rsidRPr="00C23CF9">
        <w:rPr>
          <w:szCs w:val="24"/>
          <w:shd w:val="clear" w:color="auto" w:fill="FFFFFF"/>
        </w:rPr>
        <w:t xml:space="preserve"> Saistošo noteikumu paskaidrojuma rakstā.</w:t>
      </w:r>
      <w:r>
        <w:rPr>
          <w:szCs w:val="24"/>
          <w:shd w:val="clear" w:color="auto" w:fill="FFFFFF"/>
        </w:rPr>
        <w:t xml:space="preserve"> Ņemot vērā minēto, Jūrmalas dome jau ir paudusi nostāju attiecībā par nodevas </w:t>
      </w:r>
      <w:r w:rsidRPr="001208EA">
        <w:rPr>
          <w:szCs w:val="24"/>
          <w:shd w:val="clear" w:color="auto" w:fill="FFFFFF"/>
        </w:rPr>
        <w:t xml:space="preserve">par iebraukšanu īpaša režīma zonā Jūrmalā </w:t>
      </w:r>
      <w:r>
        <w:rPr>
          <w:szCs w:val="24"/>
          <w:shd w:val="clear" w:color="auto" w:fill="FFFFFF"/>
        </w:rPr>
        <w:t>apmēru.</w:t>
      </w:r>
    </w:p>
    <w:p w14:paraId="283F4CD9" w14:textId="5DD259D3" w:rsidR="00BE316A" w:rsidRDefault="00BE316A" w:rsidP="00FF69EA">
      <w:pPr>
        <w:overflowPunct/>
        <w:autoSpaceDE/>
        <w:autoSpaceDN/>
        <w:adjustRightInd/>
        <w:ind w:firstLine="709"/>
        <w:jc w:val="both"/>
        <w:textAlignment w:val="auto"/>
        <w:rPr>
          <w:rFonts w:eastAsia="Aptos"/>
          <w:b/>
          <w:bCs/>
          <w:kern w:val="2"/>
          <w:szCs w:val="24"/>
          <w:lang w:eastAsia="en-US"/>
          <w14:ligatures w14:val="standardContextual"/>
        </w:rPr>
      </w:pPr>
      <w:r>
        <w:rPr>
          <w:rFonts w:eastAsia="Aptos"/>
          <w:kern w:val="2"/>
          <w:szCs w:val="24"/>
          <w:lang w:eastAsia="en-US"/>
          <w14:ligatures w14:val="standardContextual"/>
        </w:rPr>
        <w:lastRenderedPageBreak/>
        <w:t>Ievērojot iepriekš minēto, p</w:t>
      </w:r>
      <w:r w:rsidRPr="00CB5249">
        <w:rPr>
          <w:rFonts w:eastAsia="Aptos"/>
          <w:kern w:val="2"/>
          <w:szCs w:val="24"/>
          <w:lang w:eastAsia="en-US"/>
          <w14:ligatures w14:val="standardContextual"/>
        </w:rPr>
        <w:t>amatojoties uz Pašvaldību likuma 56.</w:t>
      </w:r>
      <w:r>
        <w:rPr>
          <w:rFonts w:eastAsia="Aptos"/>
          <w:kern w:val="2"/>
          <w:szCs w:val="24"/>
          <w:lang w:eastAsia="en-US"/>
          <w14:ligatures w14:val="standardContextual"/>
        </w:rPr>
        <w:t> </w:t>
      </w:r>
      <w:r w:rsidRPr="00CB5249">
        <w:rPr>
          <w:rFonts w:eastAsia="Aptos"/>
          <w:kern w:val="2"/>
          <w:szCs w:val="24"/>
          <w:lang w:eastAsia="en-US"/>
          <w14:ligatures w14:val="standardContextual"/>
        </w:rPr>
        <w:t>un 57.</w:t>
      </w:r>
      <w:r>
        <w:rPr>
          <w:rFonts w:eastAsia="Aptos"/>
          <w:kern w:val="2"/>
          <w:szCs w:val="24"/>
          <w:lang w:eastAsia="en-US"/>
          <w14:ligatures w14:val="standardContextual"/>
        </w:rPr>
        <w:t> </w:t>
      </w:r>
      <w:r w:rsidRPr="00CB5249">
        <w:rPr>
          <w:rFonts w:eastAsia="Aptos"/>
          <w:kern w:val="2"/>
          <w:szCs w:val="24"/>
          <w:lang w:eastAsia="en-US"/>
          <w14:ligatures w14:val="standardContextual"/>
        </w:rPr>
        <w:t xml:space="preserve">pantu, </w:t>
      </w:r>
      <w:r w:rsidRPr="00A263AD">
        <w:rPr>
          <w:rFonts w:eastAsia="Aptos"/>
          <w:b/>
          <w:bCs/>
          <w:kern w:val="2"/>
          <w:szCs w:val="24"/>
          <w:lang w:eastAsia="en-US"/>
          <w14:ligatures w14:val="standardContextual"/>
        </w:rPr>
        <w:t>Jūrmalas dome nolemj</w:t>
      </w:r>
      <w:r w:rsidRPr="00FF69EA">
        <w:rPr>
          <w:rFonts w:eastAsia="Aptos"/>
          <w:kern w:val="2"/>
          <w:szCs w:val="24"/>
          <w:lang w:eastAsia="en-US"/>
          <w14:ligatures w14:val="standardContextual"/>
        </w:rPr>
        <w:t xml:space="preserve">: </w:t>
      </w:r>
    </w:p>
    <w:p w14:paraId="1F73F667" w14:textId="77777777" w:rsidR="00BE316A" w:rsidRPr="00A263AD" w:rsidRDefault="00BE316A" w:rsidP="00FF69EA">
      <w:pPr>
        <w:overflowPunct/>
        <w:autoSpaceDE/>
        <w:autoSpaceDN/>
        <w:adjustRightInd/>
        <w:ind w:firstLine="720"/>
        <w:jc w:val="both"/>
        <w:textAlignment w:val="auto"/>
        <w:rPr>
          <w:rFonts w:eastAsia="Aptos"/>
          <w:b/>
          <w:bCs/>
          <w:kern w:val="2"/>
          <w:szCs w:val="24"/>
          <w:lang w:eastAsia="en-US"/>
          <w14:ligatures w14:val="standardContextual"/>
        </w:rPr>
      </w:pPr>
    </w:p>
    <w:p w14:paraId="3EC09187" w14:textId="77777777" w:rsidR="00BE316A" w:rsidRDefault="00BE316A" w:rsidP="00FF69EA">
      <w:pPr>
        <w:overflowPunct/>
        <w:autoSpaceDE/>
        <w:autoSpaceDN/>
        <w:adjustRightInd/>
        <w:ind w:firstLine="709"/>
        <w:jc w:val="both"/>
        <w:textAlignment w:val="auto"/>
        <w:rPr>
          <w:rFonts w:eastAsia="Aptos"/>
          <w:kern w:val="2"/>
          <w:szCs w:val="24"/>
          <w:lang w:eastAsia="en-US"/>
          <w14:ligatures w14:val="standardContextual"/>
        </w:rPr>
      </w:pPr>
      <w:r w:rsidRPr="004B5ED2">
        <w:rPr>
          <w:rFonts w:eastAsia="Aptos"/>
          <w:kern w:val="2"/>
          <w:szCs w:val="24"/>
          <w:lang w:eastAsia="en-US"/>
          <w14:ligatures w14:val="standardContextual"/>
        </w:rPr>
        <w:t>Atteikt kolektīvā iesnieguma turpmāku virzību.</w:t>
      </w:r>
    </w:p>
    <w:p w14:paraId="6299BEE8" w14:textId="77777777" w:rsidR="00BE316A" w:rsidRPr="00005C7A" w:rsidRDefault="00BE316A" w:rsidP="003C2B40">
      <w:pPr>
        <w:pStyle w:val="BodyTextIndent"/>
        <w:spacing w:after="0"/>
        <w:ind w:left="0"/>
        <w:jc w:val="both"/>
        <w:rPr>
          <w:szCs w:val="24"/>
        </w:rPr>
      </w:pPr>
    </w:p>
    <w:tbl>
      <w:tblPr>
        <w:tblW w:w="5000" w:type="pct"/>
        <w:tblLook w:val="04A0" w:firstRow="1" w:lastRow="0" w:firstColumn="1" w:lastColumn="0" w:noHBand="0" w:noVBand="1"/>
      </w:tblPr>
      <w:tblGrid>
        <w:gridCol w:w="3703"/>
        <w:gridCol w:w="2958"/>
        <w:gridCol w:w="2694"/>
      </w:tblGrid>
      <w:tr w:rsidR="003C2B40" w:rsidRPr="00005C7A" w14:paraId="52123915" w14:textId="77777777" w:rsidTr="0019480B">
        <w:trPr>
          <w:trHeight w:val="131"/>
        </w:trPr>
        <w:tc>
          <w:tcPr>
            <w:tcW w:w="1979" w:type="pct"/>
            <w:hideMark/>
          </w:tcPr>
          <w:p w14:paraId="08A9BE9A" w14:textId="07B483F9" w:rsidR="003C2B40" w:rsidRPr="00005C7A" w:rsidRDefault="003C2B40" w:rsidP="0019480B">
            <w:pPr>
              <w:ind w:left="-105"/>
              <w:rPr>
                <w:szCs w:val="24"/>
              </w:rPr>
            </w:pPr>
            <w:r w:rsidRPr="00005C7A">
              <w:rPr>
                <w:szCs w:val="24"/>
              </w:rPr>
              <w:t>Priekšsēdētāj</w:t>
            </w:r>
            <w:r w:rsidR="009823A3">
              <w:rPr>
                <w:szCs w:val="24"/>
              </w:rPr>
              <w:t>s</w:t>
            </w:r>
          </w:p>
        </w:tc>
        <w:tc>
          <w:tcPr>
            <w:tcW w:w="1581" w:type="pct"/>
            <w:hideMark/>
          </w:tcPr>
          <w:p w14:paraId="7301E060" w14:textId="77777777" w:rsidR="003C2B40" w:rsidRPr="00005C7A" w:rsidRDefault="003C2B40" w:rsidP="00FF69EA">
            <w:pPr>
              <w:jc w:val="center"/>
              <w:rPr>
                <w:szCs w:val="24"/>
              </w:rPr>
            </w:pPr>
            <w:r w:rsidRPr="00005C7A">
              <w:rPr>
                <w:szCs w:val="24"/>
              </w:rPr>
              <w:t>(paraksts*)</w:t>
            </w:r>
          </w:p>
        </w:tc>
        <w:tc>
          <w:tcPr>
            <w:tcW w:w="1440" w:type="pct"/>
            <w:hideMark/>
          </w:tcPr>
          <w:p w14:paraId="2A09B930" w14:textId="27161D9F" w:rsidR="003C2B40" w:rsidRPr="00005C7A" w:rsidRDefault="009823A3" w:rsidP="0019480B">
            <w:pPr>
              <w:ind w:right="-116"/>
              <w:jc w:val="right"/>
              <w:rPr>
                <w:szCs w:val="24"/>
              </w:rPr>
            </w:pPr>
            <w:r>
              <w:rPr>
                <w:szCs w:val="24"/>
              </w:rPr>
              <w:t>J. Lediņš</w:t>
            </w:r>
          </w:p>
        </w:tc>
      </w:tr>
    </w:tbl>
    <w:p w14:paraId="2024C1E2" w14:textId="77777777" w:rsidR="003C2B40" w:rsidRPr="00005C7A" w:rsidRDefault="003C2B40" w:rsidP="003C2B40">
      <w:pPr>
        <w:rPr>
          <w:rFonts w:eastAsia="Calibri"/>
          <w:szCs w:val="24"/>
        </w:rPr>
      </w:pPr>
    </w:p>
    <w:p w14:paraId="529EAAAE" w14:textId="01D03F4F" w:rsidR="00A6696F" w:rsidRDefault="004D0100" w:rsidP="00304085">
      <w:pPr>
        <w:jc w:val="center"/>
        <w:rPr>
          <w:rFonts w:eastAsia="Calibri"/>
          <w:sz w:val="20"/>
          <w:lang w:eastAsia="en-US"/>
        </w:rPr>
      </w:pPr>
      <w:r>
        <w:rPr>
          <w:rFonts w:eastAsia="Calibri"/>
          <w:sz w:val="20"/>
          <w:lang w:eastAsia="en-US"/>
        </w:rPr>
        <w:t>*DOKUMENTS PARAKSTĪTS AR DROŠU ELEKTRONISKO PARAKSTU UN SATUR LAIKA ZĪMOGU</w:t>
      </w:r>
    </w:p>
    <w:sectPr w:rsidR="00A6696F" w:rsidSect="003276E3">
      <w:headerReference w:type="default" r:id="rId8"/>
      <w:footerReference w:type="default" r:id="rId9"/>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407F" w14:textId="77777777" w:rsidR="003E7221" w:rsidRDefault="003E7221" w:rsidP="002E744E">
      <w:r>
        <w:separator/>
      </w:r>
    </w:p>
  </w:endnote>
  <w:endnote w:type="continuationSeparator" w:id="0">
    <w:p w14:paraId="21B18F10" w14:textId="77777777" w:rsidR="003E7221" w:rsidRDefault="003E7221"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699C" w14:textId="77777777" w:rsidR="003E7221" w:rsidRDefault="003E7221" w:rsidP="002E744E">
      <w:r>
        <w:separator/>
      </w:r>
    </w:p>
  </w:footnote>
  <w:footnote w:type="continuationSeparator" w:id="0">
    <w:p w14:paraId="7F8DBE2A" w14:textId="77777777" w:rsidR="003E7221" w:rsidRDefault="003E7221"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3"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9"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7"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1"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3"/>
  </w:num>
  <w:num w:numId="2" w16cid:durableId="188185058">
    <w:abstractNumId w:val="12"/>
  </w:num>
  <w:num w:numId="3" w16cid:durableId="335612900">
    <w:abstractNumId w:val="24"/>
  </w:num>
  <w:num w:numId="4" w16cid:durableId="1024087670">
    <w:abstractNumId w:val="26"/>
  </w:num>
  <w:num w:numId="5" w16cid:durableId="1714310156">
    <w:abstractNumId w:val="22"/>
  </w:num>
  <w:num w:numId="6" w16cid:durableId="1083379129">
    <w:abstractNumId w:val="15"/>
  </w:num>
  <w:num w:numId="7" w16cid:durableId="64761687">
    <w:abstractNumId w:val="6"/>
  </w:num>
  <w:num w:numId="8" w16cid:durableId="1450204080">
    <w:abstractNumId w:val="21"/>
  </w:num>
  <w:num w:numId="9" w16cid:durableId="2124496245">
    <w:abstractNumId w:val="38"/>
  </w:num>
  <w:num w:numId="10" w16cid:durableId="1634560612">
    <w:abstractNumId w:val="16"/>
  </w:num>
  <w:num w:numId="11" w16cid:durableId="2062708469">
    <w:abstractNumId w:val="17"/>
  </w:num>
  <w:num w:numId="12" w16cid:durableId="1928298459">
    <w:abstractNumId w:val="20"/>
  </w:num>
  <w:num w:numId="13" w16cid:durableId="82533765">
    <w:abstractNumId w:val="4"/>
  </w:num>
  <w:num w:numId="14" w16cid:durableId="751243518">
    <w:abstractNumId w:val="3"/>
  </w:num>
  <w:num w:numId="15" w16cid:durableId="1544713893">
    <w:abstractNumId w:val="9"/>
  </w:num>
  <w:num w:numId="16" w16cid:durableId="1142386378">
    <w:abstractNumId w:val="31"/>
  </w:num>
  <w:num w:numId="17" w16cid:durableId="1781140831">
    <w:abstractNumId w:val="41"/>
  </w:num>
  <w:num w:numId="18" w16cid:durableId="941843420">
    <w:abstractNumId w:val="0"/>
  </w:num>
  <w:num w:numId="19" w16cid:durableId="921766388">
    <w:abstractNumId w:val="10"/>
  </w:num>
  <w:num w:numId="20" w16cid:durableId="299841799">
    <w:abstractNumId w:val="34"/>
  </w:num>
  <w:num w:numId="21" w16cid:durableId="1710689441">
    <w:abstractNumId w:val="36"/>
  </w:num>
  <w:num w:numId="22" w16cid:durableId="1404643097">
    <w:abstractNumId w:val="2"/>
  </w:num>
  <w:num w:numId="23" w16cid:durableId="873034407">
    <w:abstractNumId w:val="30"/>
  </w:num>
  <w:num w:numId="24" w16cid:durableId="609093089">
    <w:abstractNumId w:val="43"/>
  </w:num>
  <w:num w:numId="25" w16cid:durableId="1850295436">
    <w:abstractNumId w:val="32"/>
  </w:num>
  <w:num w:numId="26" w16cid:durableId="1142386639">
    <w:abstractNumId w:val="5"/>
  </w:num>
  <w:num w:numId="27" w16cid:durableId="1820264584">
    <w:abstractNumId w:val="42"/>
  </w:num>
  <w:num w:numId="28" w16cid:durableId="1022970589">
    <w:abstractNumId w:val="19"/>
  </w:num>
  <w:num w:numId="29" w16cid:durableId="125583060">
    <w:abstractNumId w:val="23"/>
  </w:num>
  <w:num w:numId="30" w16cid:durableId="1988977485">
    <w:abstractNumId w:val="39"/>
  </w:num>
  <w:num w:numId="31" w16cid:durableId="2094667222">
    <w:abstractNumId w:val="1"/>
  </w:num>
  <w:num w:numId="32" w16cid:durableId="1586381173">
    <w:abstractNumId w:val="25"/>
  </w:num>
  <w:num w:numId="33" w16cid:durableId="2136409371">
    <w:abstractNumId w:val="29"/>
  </w:num>
  <w:num w:numId="34" w16cid:durableId="1208296891">
    <w:abstractNumId w:val="14"/>
  </w:num>
  <w:num w:numId="35" w16cid:durableId="2097745197">
    <w:abstractNumId w:val="7"/>
  </w:num>
  <w:num w:numId="36" w16cid:durableId="997464583">
    <w:abstractNumId w:val="40"/>
  </w:num>
  <w:num w:numId="37" w16cid:durableId="1359813644">
    <w:abstractNumId w:val="27"/>
  </w:num>
  <w:num w:numId="38" w16cid:durableId="1567453004">
    <w:abstractNumId w:val="8"/>
  </w:num>
  <w:num w:numId="39" w16cid:durableId="1346324863">
    <w:abstractNumId w:val="37"/>
  </w:num>
  <w:num w:numId="40" w16cid:durableId="19017190">
    <w:abstractNumId w:val="28"/>
  </w:num>
  <w:num w:numId="41" w16cid:durableId="283194360">
    <w:abstractNumId w:val="18"/>
  </w:num>
  <w:num w:numId="42" w16cid:durableId="446505672">
    <w:abstractNumId w:val="35"/>
  </w:num>
  <w:num w:numId="43" w16cid:durableId="1901136248">
    <w:abstractNumId w:val="11"/>
  </w:num>
  <w:num w:numId="44" w16cid:durableId="8019227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3C29"/>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979DC"/>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E7221"/>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1344"/>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170"/>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50D"/>
    <w:rsid w:val="00914E67"/>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4BCA"/>
    <w:rsid w:val="00B85CE0"/>
    <w:rsid w:val="00BA7708"/>
    <w:rsid w:val="00BB467A"/>
    <w:rsid w:val="00BB5BCA"/>
    <w:rsid w:val="00BC148D"/>
    <w:rsid w:val="00BC7BD3"/>
    <w:rsid w:val="00BE316A"/>
    <w:rsid w:val="00BE319D"/>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34C4"/>
    <w:rsid w:val="00E36D67"/>
    <w:rsid w:val="00E40081"/>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 w:val="00FF69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99"/>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2235</Words>
  <Characters>1274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Sandra Zviedre</cp:lastModifiedBy>
  <cp:revision>2</cp:revision>
  <cp:lastPrinted>2016-02-04T01:37:00Z</cp:lastPrinted>
  <dcterms:created xsi:type="dcterms:W3CDTF">2026-01-07T11:51:00Z</dcterms:created>
  <dcterms:modified xsi:type="dcterms:W3CDTF">2026-01-07T11:51:00Z</dcterms:modified>
</cp:coreProperties>
</file>