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44F3" w14:textId="4859D03B" w:rsidR="002E307B" w:rsidRDefault="003D3969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D30D46">
        <w:rPr>
          <w:b/>
          <w:noProof/>
          <w:sz w:val="30"/>
          <w:szCs w:val="30"/>
        </w:rPr>
        <w:drawing>
          <wp:inline distT="0" distB="0" distL="0" distR="0" wp14:anchorId="67BDBDAC" wp14:editId="10AF9E45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BDAAB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3BF1F366" w14:textId="77777777" w:rsidTr="00966C99">
        <w:trPr>
          <w:trHeight w:val="569"/>
        </w:trPr>
        <w:tc>
          <w:tcPr>
            <w:tcW w:w="8646" w:type="dxa"/>
          </w:tcPr>
          <w:p w14:paraId="2B10BB66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C136480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1F03512D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10"/>
        <w:gridCol w:w="709"/>
        <w:gridCol w:w="2160"/>
      </w:tblGrid>
      <w:tr w:rsidR="00C94885" w:rsidRPr="003846AF" w14:paraId="41E5647D" w14:textId="77777777" w:rsidTr="003F50C8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DFA8C" w14:textId="7F15160E" w:rsidR="00921067" w:rsidRPr="003846AF" w:rsidRDefault="00ED0307" w:rsidP="006562ED">
            <w:pPr>
              <w:ind w:left="-10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A84118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. gada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91A67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AC5316" w14:textId="77777777" w:rsidR="00C94885" w:rsidRPr="003846AF" w:rsidRDefault="00C94885" w:rsidP="00697B8C">
            <w:pPr>
              <w:rPr>
                <w:b/>
                <w:sz w:val="26"/>
                <w:szCs w:val="26"/>
              </w:rPr>
            </w:pPr>
            <w:r w:rsidRPr="003846AF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58BF" w14:textId="79A0714B" w:rsidR="00C94885" w:rsidRPr="003846AF" w:rsidRDefault="00C94885" w:rsidP="00EA7E6A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184CE5BB" w14:textId="77777777" w:rsidR="00EC0A49" w:rsidRPr="003846AF" w:rsidRDefault="00EC0A49">
      <w:pPr>
        <w:rPr>
          <w:sz w:val="2"/>
          <w:szCs w:val="2"/>
        </w:rPr>
      </w:pPr>
    </w:p>
    <w:p w14:paraId="5915F400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3"/>
        <w:gridCol w:w="4691"/>
      </w:tblGrid>
      <w:tr w:rsidR="00C94885" w:rsidRPr="003846AF" w14:paraId="796FF19A" w14:textId="77777777">
        <w:tc>
          <w:tcPr>
            <w:tcW w:w="4785" w:type="dxa"/>
          </w:tcPr>
          <w:p w14:paraId="3A3E7F43" w14:textId="77777777" w:rsidR="00C94885" w:rsidRPr="003846AF" w:rsidRDefault="00C94885" w:rsidP="004E7A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0AA51053" w14:textId="4B46FB65" w:rsidR="00C94885" w:rsidRPr="003846AF" w:rsidRDefault="00C94885" w:rsidP="004E7AEC">
            <w:pPr>
              <w:ind w:right="-116"/>
              <w:jc w:val="right"/>
              <w:rPr>
                <w:sz w:val="26"/>
                <w:szCs w:val="26"/>
              </w:rPr>
            </w:pPr>
            <w:r w:rsidRPr="003846AF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3846AF">
                <w:rPr>
                  <w:sz w:val="26"/>
                  <w:szCs w:val="26"/>
                </w:rPr>
                <w:t>protokols</w:t>
              </w:r>
            </w:smartTag>
            <w:r w:rsidRPr="003846AF">
              <w:rPr>
                <w:sz w:val="26"/>
                <w:szCs w:val="26"/>
              </w:rPr>
              <w:t xml:space="preserve"> Nr.</w:t>
            </w:r>
            <w:r w:rsidR="00705819">
              <w:rPr>
                <w:sz w:val="26"/>
                <w:szCs w:val="26"/>
              </w:rPr>
              <w:t> </w:t>
            </w:r>
            <w:r w:rsidR="004D6F1B">
              <w:rPr>
                <w:sz w:val="26"/>
                <w:szCs w:val="26"/>
              </w:rPr>
              <w:t>_</w:t>
            </w:r>
            <w:r w:rsidR="00987C60" w:rsidRPr="003846AF">
              <w:rPr>
                <w:sz w:val="26"/>
                <w:szCs w:val="26"/>
              </w:rPr>
              <w:t>,</w:t>
            </w:r>
            <w:r w:rsidR="00B51324">
              <w:rPr>
                <w:sz w:val="26"/>
                <w:szCs w:val="26"/>
              </w:rPr>
              <w:t xml:space="preserve"> </w:t>
            </w:r>
            <w:r w:rsidR="004D6F1B">
              <w:rPr>
                <w:sz w:val="26"/>
                <w:szCs w:val="26"/>
              </w:rPr>
              <w:t>_</w:t>
            </w:r>
            <w:r w:rsidRPr="003846AF">
              <w:rPr>
                <w:sz w:val="26"/>
                <w:szCs w:val="26"/>
              </w:rPr>
              <w:t>.</w:t>
            </w:r>
            <w:r w:rsidR="00705819"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punkt</w:t>
            </w:r>
            <w:r w:rsidR="0095589F" w:rsidRPr="003846AF">
              <w:rPr>
                <w:sz w:val="26"/>
                <w:szCs w:val="26"/>
              </w:rPr>
              <w:t>s</w:t>
            </w:r>
            <w:r w:rsidRPr="003846AF">
              <w:rPr>
                <w:sz w:val="26"/>
                <w:szCs w:val="26"/>
              </w:rPr>
              <w:t>)</w:t>
            </w:r>
          </w:p>
        </w:tc>
      </w:tr>
    </w:tbl>
    <w:p w14:paraId="56949CA7" w14:textId="77777777" w:rsidR="00B84891" w:rsidRDefault="00B84891" w:rsidP="00C247F5">
      <w:pPr>
        <w:jc w:val="both"/>
        <w:rPr>
          <w:sz w:val="26"/>
          <w:szCs w:val="26"/>
        </w:rPr>
      </w:pPr>
    </w:p>
    <w:p w14:paraId="1E4A8850" w14:textId="77777777" w:rsidR="00320BD8" w:rsidRPr="00697D9A" w:rsidRDefault="00320BD8" w:rsidP="005C7D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697D9A">
        <w:rPr>
          <w:b/>
        </w:rPr>
        <w:t xml:space="preserve">Grozījumi Jūrmalas domes 2023. gada 25. maija saistošajos noteikumos Nr. 8 “Jūrmalas </w:t>
      </w:r>
      <w:proofErr w:type="spellStart"/>
      <w:r w:rsidRPr="00697D9A">
        <w:rPr>
          <w:b/>
        </w:rPr>
        <w:t>valstspilsētas</w:t>
      </w:r>
      <w:proofErr w:type="spellEnd"/>
      <w:r w:rsidRPr="00697D9A">
        <w:rPr>
          <w:b/>
        </w:rPr>
        <w:t xml:space="preserve"> pašvaldības nolikums”</w:t>
      </w:r>
    </w:p>
    <w:p w14:paraId="2C5C3024" w14:textId="77777777" w:rsidR="00174B2C" w:rsidRPr="00697D9A" w:rsidRDefault="00174B2C" w:rsidP="00F709F4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EE6F09" w:rsidRPr="00697D9A" w14:paraId="59DBFEC8" w14:textId="77777777" w:rsidTr="00E41360">
        <w:tc>
          <w:tcPr>
            <w:tcW w:w="4218" w:type="dxa"/>
          </w:tcPr>
          <w:p w14:paraId="67AFAF11" w14:textId="77777777" w:rsidR="00EE6F09" w:rsidRPr="00697D9A" w:rsidRDefault="00320BD8" w:rsidP="00F709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97D9A">
              <w:t>Izdoti saskaņā ar Pašvaldību likuma 10. panta pirmās daļas 1. punktu, 49. panta pirmo daļu</w:t>
            </w:r>
          </w:p>
        </w:tc>
      </w:tr>
    </w:tbl>
    <w:p w14:paraId="67CA362A" w14:textId="77777777" w:rsidR="00A31F22" w:rsidRPr="00697D9A" w:rsidRDefault="00A31F22" w:rsidP="00F709F4">
      <w:pPr>
        <w:jc w:val="both"/>
      </w:pPr>
    </w:p>
    <w:p w14:paraId="538CDE98" w14:textId="40B1B0B0" w:rsidR="00320BD8" w:rsidRPr="00697D9A" w:rsidRDefault="00320BD8" w:rsidP="0047597B">
      <w:pPr>
        <w:ind w:firstLine="720"/>
        <w:jc w:val="both"/>
      </w:pPr>
      <w:r w:rsidRPr="00697D9A">
        <w:t xml:space="preserve">Izdarīt Jūrmalas domes 2023. gada 25. maija saistošajos noteikumos Nr. 8 “Jūrmalas </w:t>
      </w:r>
      <w:proofErr w:type="spellStart"/>
      <w:r w:rsidRPr="00697D9A">
        <w:t>valstspilsētas</w:t>
      </w:r>
      <w:proofErr w:type="spellEnd"/>
      <w:r w:rsidRPr="00697D9A">
        <w:t xml:space="preserve"> pašvaldības nolikums” šādus grozījumus:</w:t>
      </w:r>
    </w:p>
    <w:p w14:paraId="068D6FFF" w14:textId="33094F08" w:rsidR="00A84118" w:rsidRPr="00697D9A" w:rsidRDefault="001129B2" w:rsidP="00371C7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D9A">
        <w:rPr>
          <w:rFonts w:ascii="Times New Roman" w:hAnsi="Times New Roman"/>
          <w:sz w:val="24"/>
          <w:szCs w:val="24"/>
        </w:rPr>
        <w:t>p</w:t>
      </w:r>
      <w:r w:rsidR="00A84118" w:rsidRPr="00697D9A">
        <w:rPr>
          <w:rFonts w:ascii="Times New Roman" w:hAnsi="Times New Roman"/>
          <w:sz w:val="24"/>
          <w:szCs w:val="24"/>
        </w:rPr>
        <w:t>apildināt ar 30.8. apakšpunktu šādā redakcijā:</w:t>
      </w:r>
    </w:p>
    <w:p w14:paraId="6A826839" w14:textId="680898B5" w:rsidR="00A84118" w:rsidRPr="00697D9A" w:rsidRDefault="00A84118" w:rsidP="00371C72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D9A">
        <w:rPr>
          <w:rFonts w:ascii="Times New Roman" w:hAnsi="Times New Roman"/>
          <w:sz w:val="24"/>
          <w:szCs w:val="24"/>
        </w:rPr>
        <w:t xml:space="preserve">“30.8. Stratēģiskās plānošanas </w:t>
      </w:r>
      <w:r w:rsidR="00246187" w:rsidRPr="00697D9A">
        <w:rPr>
          <w:rFonts w:ascii="Times New Roman" w:hAnsi="Times New Roman"/>
          <w:sz w:val="24"/>
          <w:szCs w:val="24"/>
        </w:rPr>
        <w:t xml:space="preserve">jautājumu </w:t>
      </w:r>
      <w:r w:rsidRPr="00697D9A">
        <w:rPr>
          <w:rFonts w:ascii="Times New Roman" w:hAnsi="Times New Roman"/>
          <w:sz w:val="24"/>
          <w:szCs w:val="24"/>
        </w:rPr>
        <w:t>komiteja piecu locekļu sastāvā</w:t>
      </w:r>
      <w:r w:rsidR="0047597B">
        <w:rPr>
          <w:rFonts w:ascii="Times New Roman" w:hAnsi="Times New Roman"/>
          <w:sz w:val="24"/>
          <w:szCs w:val="24"/>
        </w:rPr>
        <w:t>.</w:t>
      </w:r>
      <w:r w:rsidRPr="00697D9A">
        <w:rPr>
          <w:rFonts w:ascii="Times New Roman" w:hAnsi="Times New Roman"/>
          <w:sz w:val="24"/>
          <w:szCs w:val="24"/>
        </w:rPr>
        <w:t>”;</w:t>
      </w:r>
    </w:p>
    <w:p w14:paraId="79380FAE" w14:textId="63A8C25B" w:rsidR="00A84118" w:rsidRPr="00697D9A" w:rsidRDefault="001129B2" w:rsidP="00371C7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D9A">
        <w:rPr>
          <w:rFonts w:ascii="Times New Roman" w:hAnsi="Times New Roman"/>
          <w:sz w:val="24"/>
          <w:szCs w:val="24"/>
        </w:rPr>
        <w:t>p</w:t>
      </w:r>
      <w:r w:rsidR="00A84118" w:rsidRPr="00697D9A">
        <w:rPr>
          <w:rFonts w:ascii="Times New Roman" w:hAnsi="Times New Roman"/>
          <w:sz w:val="24"/>
          <w:szCs w:val="24"/>
        </w:rPr>
        <w:t>apildināt ar 42.</w:t>
      </w:r>
      <w:r w:rsidR="00A84118" w:rsidRPr="00697D9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A84118" w:rsidRPr="00697D9A">
        <w:rPr>
          <w:rFonts w:ascii="Times New Roman" w:hAnsi="Times New Roman"/>
          <w:sz w:val="24"/>
          <w:szCs w:val="24"/>
        </w:rPr>
        <w:t xml:space="preserve">punktu šādā redakcijā: </w:t>
      </w:r>
    </w:p>
    <w:p w14:paraId="14BD7C5B" w14:textId="36EE6B83" w:rsidR="00A84118" w:rsidRPr="00697D9A" w:rsidRDefault="00A84118" w:rsidP="00371C72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D9A">
        <w:rPr>
          <w:rFonts w:ascii="Times New Roman" w:hAnsi="Times New Roman"/>
          <w:sz w:val="24"/>
          <w:szCs w:val="24"/>
        </w:rPr>
        <w:t>“42.</w:t>
      </w:r>
      <w:r w:rsidRPr="00697D9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697D9A">
        <w:rPr>
          <w:rFonts w:ascii="Times New Roman" w:hAnsi="Times New Roman"/>
          <w:sz w:val="24"/>
          <w:szCs w:val="24"/>
        </w:rPr>
        <w:t xml:space="preserve">Stratēģiskās plānošanas </w:t>
      </w:r>
      <w:r w:rsidR="00246187" w:rsidRPr="00697D9A">
        <w:rPr>
          <w:rFonts w:ascii="Times New Roman" w:hAnsi="Times New Roman"/>
          <w:sz w:val="24"/>
          <w:szCs w:val="24"/>
        </w:rPr>
        <w:t xml:space="preserve">jautājumu </w:t>
      </w:r>
      <w:r w:rsidRPr="00697D9A">
        <w:rPr>
          <w:rFonts w:ascii="Times New Roman" w:hAnsi="Times New Roman"/>
          <w:sz w:val="24"/>
          <w:szCs w:val="24"/>
        </w:rPr>
        <w:t>komiteja izskata jautājumus</w:t>
      </w:r>
      <w:r w:rsidR="005C4C21">
        <w:rPr>
          <w:rFonts w:ascii="Times New Roman" w:hAnsi="Times New Roman"/>
          <w:sz w:val="24"/>
          <w:szCs w:val="24"/>
        </w:rPr>
        <w:t xml:space="preserve"> un Domes lēmumu projektus</w:t>
      </w:r>
      <w:r w:rsidR="00876F39">
        <w:rPr>
          <w:rFonts w:ascii="Times New Roman" w:hAnsi="Times New Roman"/>
          <w:sz w:val="24"/>
          <w:szCs w:val="24"/>
        </w:rPr>
        <w:t>,</w:t>
      </w:r>
      <w:r w:rsidRPr="00697D9A">
        <w:rPr>
          <w:rFonts w:ascii="Times New Roman" w:hAnsi="Times New Roman"/>
          <w:sz w:val="24"/>
          <w:szCs w:val="24"/>
        </w:rPr>
        <w:t xml:space="preserve"> kas saistīti ar </w:t>
      </w:r>
      <w:r w:rsidR="0047597B">
        <w:rPr>
          <w:rFonts w:ascii="Times New Roman" w:hAnsi="Times New Roman"/>
          <w:sz w:val="24"/>
          <w:szCs w:val="24"/>
        </w:rPr>
        <w:t>P</w:t>
      </w:r>
      <w:r w:rsidR="00876F39">
        <w:rPr>
          <w:rFonts w:ascii="Times New Roman" w:hAnsi="Times New Roman"/>
          <w:sz w:val="24"/>
          <w:szCs w:val="24"/>
        </w:rPr>
        <w:t>ašvaldības kopējo un nozaru</w:t>
      </w:r>
      <w:r w:rsidR="00697D9A">
        <w:rPr>
          <w:rFonts w:ascii="Times New Roman" w:hAnsi="Times New Roman"/>
          <w:sz w:val="24"/>
          <w:szCs w:val="24"/>
        </w:rPr>
        <w:t xml:space="preserve"> </w:t>
      </w:r>
      <w:r w:rsidRPr="00697D9A">
        <w:rPr>
          <w:rFonts w:ascii="Times New Roman" w:hAnsi="Times New Roman"/>
          <w:sz w:val="24"/>
          <w:szCs w:val="24"/>
        </w:rPr>
        <w:t xml:space="preserve">stratēģiskās plānošanas </w:t>
      </w:r>
      <w:r w:rsidR="005C4C21">
        <w:rPr>
          <w:rFonts w:ascii="Times New Roman" w:hAnsi="Times New Roman"/>
          <w:sz w:val="24"/>
          <w:szCs w:val="24"/>
        </w:rPr>
        <w:t xml:space="preserve">un ilgtspējas </w:t>
      </w:r>
      <w:r w:rsidRPr="00697D9A">
        <w:rPr>
          <w:rFonts w:ascii="Times New Roman" w:hAnsi="Times New Roman"/>
          <w:sz w:val="24"/>
          <w:szCs w:val="24"/>
        </w:rPr>
        <w:t>dokumentu izstrād</w:t>
      </w:r>
      <w:r w:rsidR="00876F39">
        <w:rPr>
          <w:rFonts w:ascii="Times New Roman" w:hAnsi="Times New Roman"/>
          <w:sz w:val="24"/>
          <w:szCs w:val="24"/>
        </w:rPr>
        <w:t xml:space="preserve">i, </w:t>
      </w:r>
      <w:r w:rsidR="0047597B">
        <w:rPr>
          <w:rFonts w:ascii="Times New Roman" w:hAnsi="Times New Roman"/>
          <w:sz w:val="24"/>
          <w:szCs w:val="24"/>
        </w:rPr>
        <w:t>P</w:t>
      </w:r>
      <w:r w:rsidR="005C4C21">
        <w:rPr>
          <w:rFonts w:ascii="Times New Roman" w:hAnsi="Times New Roman"/>
          <w:sz w:val="24"/>
          <w:szCs w:val="24"/>
        </w:rPr>
        <w:t xml:space="preserve">ašvaldības administrācijas organizāciju </w:t>
      </w:r>
      <w:r w:rsidRPr="00697D9A">
        <w:rPr>
          <w:rFonts w:ascii="Times New Roman" w:hAnsi="Times New Roman"/>
          <w:sz w:val="24"/>
          <w:szCs w:val="24"/>
        </w:rPr>
        <w:t>un sniedz atzinumus par tiem.”</w:t>
      </w:r>
      <w:r w:rsidR="0047597B">
        <w:rPr>
          <w:rFonts w:ascii="Times New Roman" w:hAnsi="Times New Roman"/>
          <w:sz w:val="24"/>
          <w:szCs w:val="24"/>
        </w:rPr>
        <w:t>;</w:t>
      </w:r>
    </w:p>
    <w:p w14:paraId="75D96E81" w14:textId="58E6995E" w:rsidR="00A84118" w:rsidRPr="00697D9A" w:rsidRDefault="001129B2" w:rsidP="00371C7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D9A">
        <w:rPr>
          <w:rFonts w:ascii="Times New Roman" w:hAnsi="Times New Roman"/>
          <w:sz w:val="24"/>
          <w:szCs w:val="24"/>
        </w:rPr>
        <w:t>i</w:t>
      </w:r>
      <w:r w:rsidR="00A84118" w:rsidRPr="00697D9A">
        <w:rPr>
          <w:rFonts w:ascii="Times New Roman" w:hAnsi="Times New Roman"/>
          <w:sz w:val="24"/>
          <w:szCs w:val="24"/>
        </w:rPr>
        <w:t>zteikt 1.</w:t>
      </w:r>
      <w:r w:rsidR="0047597B">
        <w:rPr>
          <w:rFonts w:ascii="Times New Roman" w:hAnsi="Times New Roman"/>
          <w:sz w:val="24"/>
          <w:szCs w:val="24"/>
        </w:rPr>
        <w:t> </w:t>
      </w:r>
      <w:r w:rsidR="00A84118" w:rsidRPr="00697D9A">
        <w:rPr>
          <w:rFonts w:ascii="Times New Roman" w:hAnsi="Times New Roman"/>
          <w:sz w:val="24"/>
          <w:szCs w:val="24"/>
        </w:rPr>
        <w:t>pielikumu jaunā redakcijā saskaņā ar šo saistošo noteikumu pielikumu.</w:t>
      </w:r>
    </w:p>
    <w:p w14:paraId="22394ACD" w14:textId="77777777" w:rsidR="00102B47" w:rsidRDefault="00102B47" w:rsidP="00D92C03">
      <w:pPr>
        <w:pStyle w:val="BodyTextIndent"/>
        <w:spacing w:after="0"/>
        <w:ind w:left="0"/>
        <w:jc w:val="both"/>
        <w:rPr>
          <w:sz w:val="26"/>
          <w:szCs w:val="26"/>
        </w:rPr>
      </w:pPr>
    </w:p>
    <w:p w14:paraId="43481C17" w14:textId="77777777" w:rsidR="00B35B51" w:rsidRDefault="00B35B5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6A82D6" w14:textId="77777777" w:rsidR="00FF0BF2" w:rsidRDefault="00FF0BF2" w:rsidP="00FF0BF2">
      <w:pPr>
        <w:jc w:val="center"/>
        <w:rPr>
          <w:b/>
        </w:rPr>
      </w:pPr>
      <w:r w:rsidRPr="001D42B4">
        <w:rPr>
          <w:b/>
        </w:rPr>
        <w:lastRenderedPageBreak/>
        <w:t>PASKAIDROJUMA RAKSTS</w:t>
      </w:r>
    </w:p>
    <w:p w14:paraId="512A1579" w14:textId="77777777" w:rsidR="00FF0BF2" w:rsidRPr="001D42B4" w:rsidRDefault="00FF0BF2" w:rsidP="00FF0BF2">
      <w:pPr>
        <w:jc w:val="center"/>
        <w:rPr>
          <w:b/>
        </w:rPr>
      </w:pPr>
    </w:p>
    <w:p w14:paraId="5686929B" w14:textId="5758A6F7" w:rsidR="00FF0BF2" w:rsidRPr="00D42729" w:rsidRDefault="00FF0BF2" w:rsidP="00FF0BF2">
      <w:pPr>
        <w:jc w:val="center"/>
        <w:rPr>
          <w:b/>
          <w:bCs/>
        </w:rPr>
      </w:pPr>
      <w:r w:rsidRPr="00D42729">
        <w:rPr>
          <w:b/>
          <w:bCs/>
        </w:rPr>
        <w:t xml:space="preserve">Jūrmalas domes </w:t>
      </w:r>
      <w:bookmarkStart w:id="0" w:name="_Hlk117244516"/>
      <w:r w:rsidR="00586A2B" w:rsidRPr="00D42729">
        <w:rPr>
          <w:b/>
          <w:bCs/>
        </w:rPr>
        <w:t>202</w:t>
      </w:r>
      <w:r w:rsidR="009A399E">
        <w:rPr>
          <w:b/>
          <w:bCs/>
        </w:rPr>
        <w:t>4.</w:t>
      </w:r>
      <w:r w:rsidR="00586A2B" w:rsidRPr="00D42729">
        <w:rPr>
          <w:b/>
          <w:bCs/>
        </w:rPr>
        <w:t xml:space="preserve"> gada </w:t>
      </w:r>
      <w:bookmarkEnd w:id="0"/>
      <w:r w:rsidR="00102B47">
        <w:rPr>
          <w:b/>
          <w:bCs/>
        </w:rPr>
        <w:t>__. jūlija</w:t>
      </w:r>
      <w:r w:rsidR="00755831" w:rsidRPr="00755831">
        <w:rPr>
          <w:b/>
          <w:bCs/>
        </w:rPr>
        <w:t xml:space="preserve"> </w:t>
      </w:r>
      <w:r w:rsidRPr="00D42729">
        <w:rPr>
          <w:b/>
          <w:bCs/>
        </w:rPr>
        <w:t>saistošajiem noteikumiem Nr.</w:t>
      </w:r>
      <w:r w:rsidR="00203A4C" w:rsidRPr="00D42729">
        <w:rPr>
          <w:b/>
          <w:bCs/>
        </w:rPr>
        <w:t> </w:t>
      </w:r>
      <w:r w:rsidR="00102B47">
        <w:rPr>
          <w:b/>
          <w:bCs/>
        </w:rPr>
        <w:t>__</w:t>
      </w:r>
    </w:p>
    <w:p w14:paraId="03B32160" w14:textId="098C8F0D" w:rsidR="005C7DD4" w:rsidRDefault="005C7DD4" w:rsidP="005C7DD4">
      <w:pPr>
        <w:ind w:firstLine="181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t>“Grozījumi Jūrmalas domes 2023.</w:t>
      </w:r>
      <w:r w:rsidR="00102B47">
        <w:rPr>
          <w:b/>
          <w:bCs/>
          <w:lang w:bidi="en-US"/>
        </w:rPr>
        <w:t> </w:t>
      </w:r>
      <w:r>
        <w:rPr>
          <w:b/>
          <w:bCs/>
          <w:lang w:bidi="en-US"/>
        </w:rPr>
        <w:t>gada 25.</w:t>
      </w:r>
      <w:r w:rsidR="00102B47">
        <w:rPr>
          <w:b/>
          <w:bCs/>
          <w:lang w:bidi="en-US"/>
        </w:rPr>
        <w:t> </w:t>
      </w:r>
      <w:r>
        <w:rPr>
          <w:b/>
          <w:bCs/>
          <w:lang w:bidi="en-US"/>
        </w:rPr>
        <w:t>mai</w:t>
      </w:r>
      <w:r w:rsidR="00102B47">
        <w:rPr>
          <w:b/>
          <w:bCs/>
          <w:lang w:bidi="en-US"/>
        </w:rPr>
        <w:t>ja saistošajos noteikumos Nr. 8 “</w:t>
      </w:r>
      <w:r>
        <w:rPr>
          <w:b/>
          <w:bCs/>
          <w:lang w:bidi="en-US"/>
        </w:rPr>
        <w:t xml:space="preserve">Jūrmalas </w:t>
      </w:r>
      <w:proofErr w:type="spellStart"/>
      <w:r>
        <w:rPr>
          <w:b/>
          <w:bCs/>
          <w:lang w:bidi="en-US"/>
        </w:rPr>
        <w:t>valstspilsētas</w:t>
      </w:r>
      <w:proofErr w:type="spellEnd"/>
      <w:r>
        <w:rPr>
          <w:b/>
          <w:bCs/>
          <w:lang w:bidi="en-US"/>
        </w:rPr>
        <w:t xml:space="preserve"> pašvaldības nolikums””</w:t>
      </w:r>
    </w:p>
    <w:p w14:paraId="0A1403EB" w14:textId="77777777" w:rsidR="005C7DD4" w:rsidRDefault="005C7DD4" w:rsidP="005C7DD4">
      <w:pPr>
        <w:ind w:firstLine="181"/>
        <w:jc w:val="center"/>
        <w:rPr>
          <w:b/>
          <w:bCs/>
          <w:color w:val="000000"/>
          <w:lang w:bidi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392"/>
        <w:gridCol w:w="5942"/>
      </w:tblGrid>
      <w:tr w:rsidR="005C7DD4" w14:paraId="3B756297" w14:textId="77777777" w:rsidTr="005C7DD4">
        <w:trPr>
          <w:tblHeader/>
        </w:trPr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71002" w14:textId="77777777" w:rsidR="005C7DD4" w:rsidRDefault="005C7DD4" w:rsidP="00B773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Paskaidrojuma raksta sadaļas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DFB11" w14:textId="77777777" w:rsidR="005C7DD4" w:rsidRDefault="005C7DD4" w:rsidP="00B77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Norādāmā informācija</w:t>
            </w:r>
          </w:p>
        </w:tc>
      </w:tr>
      <w:tr w:rsidR="005C7DD4" w14:paraId="46E4BE00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4032A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CE726" w14:textId="1AC4F3B9" w:rsidR="00697D9A" w:rsidRPr="00876F39" w:rsidRDefault="00697D9A">
            <w:pPr>
              <w:numPr>
                <w:ilvl w:val="1"/>
                <w:numId w:val="1"/>
              </w:numPr>
              <w:tabs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 w:rsidRPr="00697D9A">
              <w:rPr>
                <w:color w:val="000000"/>
              </w:rPr>
              <w:t> Atbilstoši Pašvaldību likuma 49. pantam pašvaldības nolikums ir saistošie noteikumi, kas nosaka pašvaldības institucionālo sistēmu un darba organizāciju</w:t>
            </w:r>
            <w:r w:rsidR="00876F39">
              <w:rPr>
                <w:color w:val="000000"/>
              </w:rPr>
              <w:t xml:space="preserve">. </w:t>
            </w:r>
            <w:r w:rsidR="00876F39" w:rsidRPr="00876F39">
              <w:rPr>
                <w:lang w:bidi="en-US"/>
              </w:rPr>
              <w:t xml:space="preserve">Jūrmalas domes 2023. gada 25. maija saistošajos noteikumos Nr. 8 “Jūrmalas </w:t>
            </w:r>
            <w:proofErr w:type="spellStart"/>
            <w:r w:rsidR="00876F39" w:rsidRPr="00876F39">
              <w:rPr>
                <w:lang w:bidi="en-US"/>
              </w:rPr>
              <w:t>valstspilsētas</w:t>
            </w:r>
            <w:proofErr w:type="spellEnd"/>
            <w:r w:rsidR="00876F39" w:rsidRPr="00876F39">
              <w:rPr>
                <w:lang w:bidi="en-US"/>
              </w:rPr>
              <w:t xml:space="preserve"> pašvaldības nolikums” </w:t>
            </w:r>
            <w:r w:rsidR="00876F39">
              <w:rPr>
                <w:lang w:bidi="en-US"/>
              </w:rPr>
              <w:t xml:space="preserve">(turpmāk -  Nolikums) </w:t>
            </w:r>
            <w:r w:rsidR="00876F39" w:rsidRPr="00876F39">
              <w:rPr>
                <w:lang w:bidi="en-US"/>
              </w:rPr>
              <w:t>ir iekļautas Jūrmalas domes izveidotās komitejas un to funkcijas.</w:t>
            </w:r>
          </w:p>
          <w:p w14:paraId="7336A5BB" w14:textId="2F1A98E3" w:rsidR="005C7DD4" w:rsidRDefault="005C4C21">
            <w:pPr>
              <w:numPr>
                <w:ilvl w:val="1"/>
                <w:numId w:val="1"/>
              </w:numPr>
              <w:tabs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Lai </w:t>
            </w:r>
            <w:r w:rsidRPr="00697D9A">
              <w:rPr>
                <w:color w:val="000000"/>
              </w:rPr>
              <w:t xml:space="preserve">nodrošinātu ilgtermiņa, koordinētu un mērķtiecīgu </w:t>
            </w:r>
            <w:r>
              <w:rPr>
                <w:color w:val="000000"/>
              </w:rPr>
              <w:t xml:space="preserve">Jūrmalas </w:t>
            </w:r>
            <w:proofErr w:type="spellStart"/>
            <w:r>
              <w:rPr>
                <w:color w:val="000000"/>
              </w:rPr>
              <w:t>valstspilsētas</w:t>
            </w:r>
            <w:proofErr w:type="spellEnd"/>
            <w:r>
              <w:rPr>
                <w:color w:val="000000"/>
              </w:rPr>
              <w:t xml:space="preserve"> pašvaldības </w:t>
            </w:r>
            <w:r w:rsidRPr="00697D9A">
              <w:rPr>
                <w:color w:val="000000"/>
              </w:rPr>
              <w:t>attīstību</w:t>
            </w:r>
            <w:r>
              <w:rPr>
                <w:color w:val="000000"/>
              </w:rPr>
              <w:t xml:space="preserve">, </w:t>
            </w:r>
            <w:r w:rsidR="002310F0">
              <w:rPr>
                <w:color w:val="000000"/>
              </w:rPr>
              <w:t>ar šiem saistošajiem noteikumiem</w:t>
            </w:r>
            <w:r w:rsidR="00876F39">
              <w:rPr>
                <w:color w:val="000000"/>
              </w:rPr>
              <w:t xml:space="preserve"> tiek izveidota</w:t>
            </w:r>
            <w:r>
              <w:rPr>
                <w:color w:val="000000"/>
              </w:rPr>
              <w:t xml:space="preserve"> Stratēģiskās plānošanas jautājumu komiteja</w:t>
            </w:r>
            <w:r w:rsidR="002310F0">
              <w:rPr>
                <w:color w:val="000000"/>
              </w:rPr>
              <w:t>.</w:t>
            </w:r>
          </w:p>
          <w:p w14:paraId="555C097C" w14:textId="739F52EF" w:rsidR="00697D9A" w:rsidRPr="00F159B2" w:rsidRDefault="007B398A">
            <w:pPr>
              <w:numPr>
                <w:ilvl w:val="1"/>
                <w:numId w:val="1"/>
              </w:numPr>
              <w:tabs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B398A">
              <w:rPr>
                <w:color w:val="000000"/>
              </w:rPr>
              <w:t xml:space="preserve">ašvaldības kopējā attīstība ir balstīta </w:t>
            </w:r>
            <w:r>
              <w:rPr>
                <w:color w:val="000000"/>
              </w:rPr>
              <w:t xml:space="preserve">uz </w:t>
            </w:r>
            <w:r w:rsidRPr="007B398A">
              <w:rPr>
                <w:color w:val="000000"/>
              </w:rPr>
              <w:t>ekonomisko izaugsmi</w:t>
            </w:r>
            <w:r>
              <w:rPr>
                <w:color w:val="000000"/>
              </w:rPr>
              <w:t xml:space="preserve">, kas </w:t>
            </w:r>
            <w:r w:rsidRPr="007B398A">
              <w:rPr>
                <w:color w:val="000000"/>
              </w:rPr>
              <w:t xml:space="preserve"> prasa ilgtermiņa, koordinētu pieeju lēmumu pieņemšanā</w:t>
            </w:r>
            <w:r w:rsidR="00507B70">
              <w:rPr>
                <w:color w:val="000000"/>
              </w:rPr>
              <w:t>. Stratēģiskās plānošanas jautājumu komitejas kompetencē ir</w:t>
            </w:r>
            <w:r w:rsidR="00F159B2">
              <w:rPr>
                <w:color w:val="000000"/>
              </w:rPr>
              <w:t xml:space="preserve"> izskatīt jautājumus, kas skar pašvaldības kopējo, kā arī atsevišķu pašvaldības kompetencē esošo nozaru attīstību,</w:t>
            </w:r>
            <w:r w:rsidR="00507B70">
              <w:rPr>
                <w:color w:val="000000"/>
              </w:rPr>
              <w:t xml:space="preserve"> n</w:t>
            </w:r>
            <w:r w:rsidRPr="007B398A">
              <w:rPr>
                <w:color w:val="000000"/>
              </w:rPr>
              <w:t>odrošin</w:t>
            </w:r>
            <w:r w:rsidR="00F159B2">
              <w:rPr>
                <w:color w:val="000000"/>
              </w:rPr>
              <w:t>o</w:t>
            </w:r>
            <w:r w:rsidRPr="007B398A">
              <w:rPr>
                <w:color w:val="000000"/>
              </w:rPr>
              <w:t xml:space="preserve">t saskaņotu </w:t>
            </w:r>
            <w:r w:rsidR="007769B1">
              <w:rPr>
                <w:color w:val="000000"/>
              </w:rPr>
              <w:t xml:space="preserve">procesu </w:t>
            </w:r>
            <w:r w:rsidRPr="007B398A">
              <w:rPr>
                <w:color w:val="000000"/>
              </w:rPr>
              <w:t xml:space="preserve">plānošanu, </w:t>
            </w:r>
            <w:r w:rsidR="00697D9A">
              <w:rPr>
                <w:color w:val="000000"/>
              </w:rPr>
              <w:t>d</w:t>
            </w:r>
            <w:r w:rsidR="00697D9A" w:rsidRPr="00697D9A">
              <w:rPr>
                <w:color w:val="000000"/>
              </w:rPr>
              <w:t>ažādu nozaru interešu sa</w:t>
            </w:r>
            <w:r w:rsidR="00507B70">
              <w:rPr>
                <w:color w:val="000000"/>
              </w:rPr>
              <w:t>balansēšanu</w:t>
            </w:r>
            <w:r w:rsidR="00F159B2">
              <w:rPr>
                <w:color w:val="000000"/>
              </w:rPr>
              <w:t>.</w:t>
            </w:r>
            <w:r w:rsidR="00672E46">
              <w:rPr>
                <w:color w:val="000000"/>
              </w:rPr>
              <w:t xml:space="preserve"> Stratēģiskās plānošanas jautājumu komiteja</w:t>
            </w:r>
            <w:r w:rsidR="007769B1">
              <w:rPr>
                <w:color w:val="000000"/>
              </w:rPr>
              <w:t xml:space="preserve"> izskata</w:t>
            </w:r>
            <w:r w:rsidR="00672E46">
              <w:rPr>
                <w:color w:val="000000"/>
              </w:rPr>
              <w:t xml:space="preserve"> </w:t>
            </w:r>
            <w:r w:rsidR="007769B1">
              <w:rPr>
                <w:color w:val="000000"/>
              </w:rPr>
              <w:t xml:space="preserve">Jūrmalas domes lēmumus, kas skar </w:t>
            </w:r>
            <w:proofErr w:type="spellStart"/>
            <w:r w:rsidR="00672E46">
              <w:rPr>
                <w:color w:val="000000"/>
              </w:rPr>
              <w:t>pārnozaru</w:t>
            </w:r>
            <w:proofErr w:type="spellEnd"/>
            <w:r w:rsidR="00672E46">
              <w:rPr>
                <w:color w:val="000000"/>
              </w:rPr>
              <w:t xml:space="preserve"> attīstības jautājumus, nodrošinot ilgtspēju dažādu projektu īstenošanā</w:t>
            </w:r>
            <w:r w:rsidR="007769B1">
              <w:rPr>
                <w:color w:val="000000"/>
              </w:rPr>
              <w:t xml:space="preserve"> un sniedz atzinumus par tiem</w:t>
            </w:r>
            <w:r w:rsidR="00672E46">
              <w:rPr>
                <w:color w:val="000000"/>
              </w:rPr>
              <w:t xml:space="preserve">. </w:t>
            </w:r>
            <w:r w:rsidR="00F159B2" w:rsidRPr="00F159B2">
              <w:rPr>
                <w:color w:val="000000"/>
              </w:rPr>
              <w:t>Tāpat minētā</w:t>
            </w:r>
            <w:r w:rsidR="00F159B2">
              <w:rPr>
                <w:color w:val="000000"/>
              </w:rPr>
              <w:t>s</w:t>
            </w:r>
            <w:r w:rsidR="00F159B2" w:rsidRPr="00F159B2">
              <w:rPr>
                <w:color w:val="000000"/>
              </w:rPr>
              <w:t xml:space="preserve"> komitejas</w:t>
            </w:r>
            <w:r w:rsidR="00F159B2">
              <w:rPr>
                <w:color w:val="000000"/>
              </w:rPr>
              <w:t xml:space="preserve"> funkcijās ietilpst pašvaldības administrācijas būtisku organizatorisko jautājumu izskatīšana, atzinumu sniegšan</w:t>
            </w:r>
            <w:r w:rsidR="0047597B">
              <w:rPr>
                <w:color w:val="000000"/>
              </w:rPr>
              <w:t>a</w:t>
            </w:r>
            <w:r w:rsidR="00F159B2">
              <w:rPr>
                <w:color w:val="000000"/>
              </w:rPr>
              <w:t xml:space="preserve"> par </w:t>
            </w:r>
            <w:r w:rsidR="00672E46">
              <w:rPr>
                <w:color w:val="000000"/>
              </w:rPr>
              <w:t>Jūrmalas d</w:t>
            </w:r>
            <w:r w:rsidR="00F159B2">
              <w:rPr>
                <w:color w:val="000000"/>
              </w:rPr>
              <w:t>omes lēmum</w:t>
            </w:r>
            <w:r w:rsidR="0047597B">
              <w:rPr>
                <w:color w:val="000000"/>
              </w:rPr>
              <w:t>u projekt</w:t>
            </w:r>
            <w:r w:rsidR="00F159B2">
              <w:rPr>
                <w:color w:val="000000"/>
              </w:rPr>
              <w:t>iem, kas skar</w:t>
            </w:r>
            <w:r w:rsidR="00F159B2" w:rsidRPr="00F159B2">
              <w:rPr>
                <w:color w:val="000000"/>
              </w:rPr>
              <w:t xml:space="preserve"> </w:t>
            </w:r>
            <w:r w:rsidR="007769B1">
              <w:rPr>
                <w:color w:val="000000"/>
              </w:rPr>
              <w:t xml:space="preserve">minētos </w:t>
            </w:r>
            <w:r w:rsidR="00F159B2" w:rsidRPr="00F159B2">
              <w:rPr>
                <w:color w:val="000000"/>
              </w:rPr>
              <w:t>pašvaldības administrācijas iekšēj</w:t>
            </w:r>
            <w:r w:rsidR="00F159B2">
              <w:rPr>
                <w:color w:val="000000"/>
              </w:rPr>
              <w:t>os procesus.</w:t>
            </w:r>
          </w:p>
        </w:tc>
      </w:tr>
      <w:tr w:rsidR="005C7DD4" w14:paraId="0A856269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9EBAD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33859" w14:textId="3897D5B2" w:rsidR="005E2AB8" w:rsidRDefault="00697D9A" w:rsidP="00843516">
            <w:pPr>
              <w:widowControl w:val="0"/>
              <w:tabs>
                <w:tab w:val="num" w:pos="0"/>
              </w:tabs>
              <w:ind w:right="102" w:firstLine="35"/>
              <w:jc w:val="both"/>
              <w:textAlignment w:val="baseline"/>
            </w:pPr>
            <w:r>
              <w:t xml:space="preserve">Fiskālā ietekme uz pašvaldības budžetu </w:t>
            </w:r>
            <w:r w:rsidR="00AF15A4">
              <w:t xml:space="preserve">ir starpība starp nealgotā deputāta un </w:t>
            </w:r>
            <w:r>
              <w:t xml:space="preserve">komitejas vadītāja </w:t>
            </w:r>
            <w:r w:rsidR="00AF15A4">
              <w:t>atlīdzību</w:t>
            </w:r>
            <w:r w:rsidR="00371C72">
              <w:t>.</w:t>
            </w:r>
          </w:p>
        </w:tc>
      </w:tr>
      <w:tr w:rsidR="005C7DD4" w14:paraId="2F82C6B3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D12D6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9CE4" w14:textId="13E0D44F" w:rsidR="005C7DD4" w:rsidRPr="00B01EB7" w:rsidRDefault="002310F0" w:rsidP="002310F0">
            <w:pPr>
              <w:widowControl w:val="0"/>
              <w:ind w:right="102"/>
              <w:contextualSpacing/>
              <w:jc w:val="both"/>
              <w:textAlignment w:val="baseline"/>
            </w:pPr>
            <w:r>
              <w:t>N</w:t>
            </w:r>
            <w:r w:rsidRPr="002310F0">
              <w:t>av tieša ietekme, jo saistošajos noteikumos iekļautie grozījumi attiecas uz organizatorisku jautājumu izmaiņām lēmējvaras struktūrā</w:t>
            </w:r>
            <w:r w:rsidR="00AF15A4">
              <w:t>.</w:t>
            </w:r>
          </w:p>
        </w:tc>
      </w:tr>
      <w:tr w:rsidR="005C7DD4" w14:paraId="0EB2ADF1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D7BC5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Ietekme uz administratīvajām procedūrām un to izmaksām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B733A" w14:textId="19C10119" w:rsidR="002310F0" w:rsidRPr="002310F0" w:rsidRDefault="002310F0" w:rsidP="002310F0">
            <w:pPr>
              <w:jc w:val="both"/>
            </w:pPr>
            <w:r w:rsidRPr="002310F0">
              <w:t>4.1. Tiks mainītas administratīvās procedūras - lēmējvaras struktūra, kas saistīta ar Jūrmalas domes komitejām un to kompetenci</w:t>
            </w:r>
            <w:r w:rsidR="00AF15A4">
              <w:t>.</w:t>
            </w:r>
            <w:r>
              <w:t xml:space="preserve"> </w:t>
            </w:r>
            <w:r w:rsidR="00AF15A4">
              <w:t xml:space="preserve">Jūrmalas </w:t>
            </w:r>
            <w:proofErr w:type="spellStart"/>
            <w:r w:rsidR="00AF15A4">
              <w:t>valstspilsētas</w:t>
            </w:r>
            <w:proofErr w:type="spellEnd"/>
            <w:r w:rsidR="00AF15A4">
              <w:t xml:space="preserve"> p</w:t>
            </w:r>
            <w:r>
              <w:t>ašvaldībai stratēģiski būtiskus jautājumu</w:t>
            </w:r>
            <w:r w:rsidR="004C51DE">
              <w:t>s,</w:t>
            </w:r>
            <w:r>
              <w:t xml:space="preserve"> kā arī pašvaldības administrācijas organizatoriskos jautājumus izskatī</w:t>
            </w:r>
            <w:r w:rsidR="00AF15A4">
              <w:t>s</w:t>
            </w:r>
            <w:r>
              <w:t xml:space="preserve"> </w:t>
            </w:r>
            <w:r>
              <w:rPr>
                <w:color w:val="000000"/>
              </w:rPr>
              <w:t xml:space="preserve">Stratēģiskās plānošanas jautājumu </w:t>
            </w:r>
            <w:r>
              <w:t>komitejā.</w:t>
            </w:r>
          </w:p>
          <w:p w14:paraId="7510350F" w14:textId="7D213B2F" w:rsidR="002310F0" w:rsidRPr="002310F0" w:rsidRDefault="002310F0" w:rsidP="002310F0">
            <w:pPr>
              <w:jc w:val="both"/>
            </w:pPr>
            <w:r w:rsidRPr="002310F0">
              <w:t xml:space="preserve">4.2. Saistošo noteikumu piemērošanā privātpersonas kā līdz šim var vērsties Jūrmalas </w:t>
            </w:r>
            <w:proofErr w:type="spellStart"/>
            <w:r w:rsidRPr="002310F0">
              <w:t>valstspilsētas</w:t>
            </w:r>
            <w:proofErr w:type="spellEnd"/>
            <w:r w:rsidRPr="002310F0">
              <w:t xml:space="preserve"> administrācijā.</w:t>
            </w:r>
          </w:p>
          <w:p w14:paraId="4855628E" w14:textId="3FA2B360" w:rsidR="005C7DD4" w:rsidRDefault="005C7DD4" w:rsidP="002310F0">
            <w:pPr>
              <w:jc w:val="both"/>
            </w:pPr>
          </w:p>
        </w:tc>
      </w:tr>
      <w:tr w:rsidR="005C7DD4" w14:paraId="0746A84F" w14:textId="77777777" w:rsidTr="001129B2">
        <w:trPr>
          <w:trHeight w:val="894"/>
        </w:trPr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7AD8C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lastRenderedPageBreak/>
              <w:t>Ietekme uz pašvaldības funkcijām un cilvēkresursiem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9BA23" w14:textId="66942A70" w:rsidR="005C7DD4" w:rsidRPr="008D302A" w:rsidRDefault="00AF15A4" w:rsidP="008D302A">
            <w:pPr>
              <w:jc w:val="both"/>
            </w:pPr>
            <w:r w:rsidRPr="00AF15A4">
              <w:t>Saistoš</w:t>
            </w:r>
            <w:r>
              <w:t>ie</w:t>
            </w:r>
            <w:r w:rsidRPr="00AF15A4">
              <w:t xml:space="preserve"> noteikum</w:t>
            </w:r>
            <w:r>
              <w:t>i</w:t>
            </w:r>
            <w:r w:rsidRPr="00AF15A4">
              <w:t xml:space="preserve"> neietekmē pašvaldības funkcijas kopumā. Saistoš</w:t>
            </w:r>
            <w:r>
              <w:t>ie</w:t>
            </w:r>
            <w:r w:rsidRPr="00AF15A4">
              <w:t xml:space="preserve"> noteikum</w:t>
            </w:r>
            <w:r>
              <w:t>i</w:t>
            </w:r>
            <w:r w:rsidRPr="00AF15A4">
              <w:t xml:space="preserve"> paredz strukturālas un organizatoriskas izmaiņas Jūrmalas domes komiteju</w:t>
            </w:r>
            <w:r>
              <w:t xml:space="preserve"> </w:t>
            </w:r>
            <w:r w:rsidRPr="00AF15A4">
              <w:t xml:space="preserve"> kompetencē</w:t>
            </w:r>
            <w:r>
              <w:t>.</w:t>
            </w:r>
          </w:p>
        </w:tc>
      </w:tr>
      <w:tr w:rsidR="005C7DD4" w14:paraId="218B718F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39F23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Informācija par izpildes nodrošināšanu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EE666" w14:textId="6F97320E" w:rsidR="00AF15A4" w:rsidRPr="00AF15A4" w:rsidRDefault="00AF15A4" w:rsidP="00AF15A4">
            <w:pPr>
              <w:jc w:val="both"/>
            </w:pPr>
            <w:r w:rsidRPr="00AF15A4">
              <w:t xml:space="preserve">Saistošo noteikumu izpildi nodrošinās Jūrmalas dome un Jūrmalas </w:t>
            </w:r>
            <w:proofErr w:type="spellStart"/>
            <w:r w:rsidRPr="00AF15A4">
              <w:t>valstspilsētas</w:t>
            </w:r>
            <w:proofErr w:type="spellEnd"/>
            <w:r w:rsidRPr="00AF15A4">
              <w:t xml:space="preserve"> administrācija.</w:t>
            </w:r>
          </w:p>
          <w:p w14:paraId="07E61A4B" w14:textId="7319E001" w:rsidR="005C7DD4" w:rsidRPr="0057669D" w:rsidRDefault="005C7DD4" w:rsidP="0057669D">
            <w:pPr>
              <w:jc w:val="both"/>
            </w:pPr>
          </w:p>
        </w:tc>
      </w:tr>
      <w:tr w:rsidR="005C7DD4" w14:paraId="7A87B96F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04B45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Prasību un izmaksu samērīgums pret ieguvumiem, ko sniedz mērķa sasniegšana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48B7B" w14:textId="5E8BAAB7" w:rsidR="005C7DD4" w:rsidRPr="008D302A" w:rsidRDefault="00AF15A4" w:rsidP="008D302A">
            <w:pPr>
              <w:jc w:val="both"/>
            </w:pPr>
            <w:r w:rsidRPr="00AF15A4">
              <w:t>Ar saistošajiem noteikumiem noteiktās prasības ir samērīgas attiecībā pret ieguvumiem, ko sniedz saistošo noteikumu mērķa sasniegšana. </w:t>
            </w:r>
          </w:p>
        </w:tc>
      </w:tr>
      <w:tr w:rsidR="005C7DD4" w14:paraId="1E21AAD7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1C9AA" w14:textId="77777777" w:rsidR="005C7DD4" w:rsidRPr="005C7DD4" w:rsidRDefault="005C7D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Izstrādes gaitā veiktās konsultācijas ar privātpersonām un institūcijām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5BE75" w14:textId="030399B6" w:rsidR="005C7DD4" w:rsidRDefault="00AF15A4" w:rsidP="008D302A">
            <w:pPr>
              <w:widowControl w:val="0"/>
              <w:ind w:right="102"/>
              <w:jc w:val="both"/>
              <w:textAlignment w:val="baseline"/>
              <w:rPr>
                <w:color w:val="000000"/>
              </w:rPr>
            </w:pPr>
            <w:r w:rsidRPr="00AF15A4">
              <w:rPr>
                <w:color w:val="000000"/>
              </w:rPr>
              <w:t>Sabiedrības viedokļa noskaidrošana ti</w:t>
            </w:r>
            <w:r>
              <w:rPr>
                <w:color w:val="000000"/>
              </w:rPr>
              <w:t>ks</w:t>
            </w:r>
            <w:r w:rsidRPr="00AF15A4">
              <w:rPr>
                <w:color w:val="000000"/>
              </w:rPr>
              <w:t xml:space="preserve"> veikta atbilstoši Pašvaldību likuma 46. panta trešajā daļā noteiktajam - saistošo noteikumu projekts un paskaidrojuma raksts no 2025. gada </w:t>
            </w:r>
            <w:r>
              <w:rPr>
                <w:color w:val="000000"/>
              </w:rPr>
              <w:t>30.</w:t>
            </w:r>
            <w:r w:rsidR="004C51DE">
              <w:rPr>
                <w:color w:val="000000"/>
              </w:rPr>
              <w:t> </w:t>
            </w:r>
            <w:r>
              <w:rPr>
                <w:color w:val="000000"/>
              </w:rPr>
              <w:t>oktobra</w:t>
            </w:r>
            <w:r w:rsidRPr="00AF15A4">
              <w:rPr>
                <w:color w:val="000000"/>
              </w:rPr>
              <w:t xml:space="preserve"> līdz 2025. gada </w:t>
            </w:r>
            <w:r>
              <w:rPr>
                <w:color w:val="000000"/>
              </w:rPr>
              <w:t>1</w:t>
            </w:r>
            <w:r w:rsidR="009D48C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="004C51DE">
              <w:rPr>
                <w:color w:val="000000"/>
              </w:rPr>
              <w:t> </w:t>
            </w:r>
            <w:r>
              <w:rPr>
                <w:color w:val="000000"/>
              </w:rPr>
              <w:t>novembrim</w:t>
            </w:r>
            <w:r w:rsidRPr="00AF15A4">
              <w:rPr>
                <w:color w:val="000000"/>
              </w:rPr>
              <w:t xml:space="preserve"> </w:t>
            </w:r>
            <w:r w:rsidR="004C51DE">
              <w:rPr>
                <w:color w:val="000000"/>
              </w:rPr>
              <w:t xml:space="preserve">tiek </w:t>
            </w:r>
            <w:r w:rsidRPr="00AF15A4">
              <w:rPr>
                <w:color w:val="000000"/>
              </w:rPr>
              <w:t>publicēt</w:t>
            </w:r>
            <w:r>
              <w:rPr>
                <w:color w:val="000000"/>
              </w:rPr>
              <w:t>i</w:t>
            </w:r>
            <w:r w:rsidRPr="00AF15A4">
              <w:rPr>
                <w:color w:val="000000"/>
              </w:rPr>
              <w:t xml:space="preserve"> Jūrmalas </w:t>
            </w:r>
            <w:proofErr w:type="spellStart"/>
            <w:r w:rsidRPr="00AF15A4">
              <w:rPr>
                <w:color w:val="000000"/>
              </w:rPr>
              <w:t>valstspilsētas</w:t>
            </w:r>
            <w:proofErr w:type="spellEnd"/>
            <w:r w:rsidRPr="00AF15A4">
              <w:rPr>
                <w:color w:val="000000"/>
              </w:rPr>
              <w:t xml:space="preserve"> pašvaldības oficiālajā tīmekļvietnē www.jurmala.lv sabiedrības viedokļa noskaidrošanai.</w:t>
            </w:r>
          </w:p>
          <w:p w14:paraId="48025FCA" w14:textId="0D20CB42" w:rsidR="00AF15A4" w:rsidRDefault="00AF15A4" w:rsidP="008D302A">
            <w:pPr>
              <w:widowControl w:val="0"/>
              <w:ind w:right="102"/>
              <w:jc w:val="both"/>
              <w:textAlignment w:val="baseline"/>
            </w:pPr>
            <w:r>
              <w:t>Minētajā periodā saņemti/ netika saņemti iedzīvotāju iebildumi/ priekšlikumi.</w:t>
            </w:r>
          </w:p>
        </w:tc>
      </w:tr>
    </w:tbl>
    <w:p w14:paraId="0CA3C783" w14:textId="70356BEE" w:rsidR="004240C6" w:rsidRDefault="004240C6" w:rsidP="004240C6">
      <w:pPr>
        <w:pStyle w:val="BodyTextIndent"/>
        <w:spacing w:after="0"/>
        <w:ind w:left="0"/>
        <w:jc w:val="both"/>
        <w:rPr>
          <w:sz w:val="26"/>
          <w:szCs w:val="26"/>
        </w:rPr>
      </w:pPr>
    </w:p>
    <w:p w14:paraId="4C7A8A7D" w14:textId="77777777" w:rsidR="008D302A" w:rsidRDefault="008D302A" w:rsidP="004240C6">
      <w:pPr>
        <w:pStyle w:val="BodyTextIndent"/>
        <w:spacing w:after="0"/>
        <w:ind w:left="0"/>
        <w:jc w:val="both"/>
        <w:rPr>
          <w:sz w:val="26"/>
          <w:szCs w:val="26"/>
        </w:rPr>
      </w:pPr>
    </w:p>
    <w:sectPr w:rsidR="008D302A" w:rsidSect="00B77382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F079" w14:textId="77777777" w:rsidR="00DC4FD5" w:rsidRDefault="00DC4FD5">
      <w:r>
        <w:separator/>
      </w:r>
    </w:p>
  </w:endnote>
  <w:endnote w:type="continuationSeparator" w:id="0">
    <w:p w14:paraId="6B871DAE" w14:textId="77777777" w:rsidR="00DC4FD5" w:rsidRDefault="00DC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1C67" w14:textId="3A55DE56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669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5174" w14:textId="77777777" w:rsidR="00DC4FD5" w:rsidRDefault="00DC4FD5">
      <w:r>
        <w:separator/>
      </w:r>
    </w:p>
  </w:footnote>
  <w:footnote w:type="continuationSeparator" w:id="0">
    <w:p w14:paraId="77A46681" w14:textId="77777777" w:rsidR="00DC4FD5" w:rsidRDefault="00DC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945"/>
    <w:multiLevelType w:val="hybridMultilevel"/>
    <w:tmpl w:val="D7402BEE"/>
    <w:lvl w:ilvl="0" w:tplc="17C65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197FB5"/>
    <w:multiLevelType w:val="multilevel"/>
    <w:tmpl w:val="AB9277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852" w:hanging="43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num w:numId="1" w16cid:durableId="180899604">
    <w:abstractNumId w:val="1"/>
  </w:num>
  <w:num w:numId="2" w16cid:durableId="4245711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5ED0"/>
    <w:rsid w:val="00016197"/>
    <w:rsid w:val="0001790D"/>
    <w:rsid w:val="00023D3C"/>
    <w:rsid w:val="000267E4"/>
    <w:rsid w:val="0002704E"/>
    <w:rsid w:val="0003173C"/>
    <w:rsid w:val="00034BD7"/>
    <w:rsid w:val="0003725A"/>
    <w:rsid w:val="00042141"/>
    <w:rsid w:val="00042309"/>
    <w:rsid w:val="000477E3"/>
    <w:rsid w:val="00053C77"/>
    <w:rsid w:val="000540F8"/>
    <w:rsid w:val="00070E7F"/>
    <w:rsid w:val="00072950"/>
    <w:rsid w:val="00072E15"/>
    <w:rsid w:val="00076F61"/>
    <w:rsid w:val="000776C0"/>
    <w:rsid w:val="000827B8"/>
    <w:rsid w:val="000837FF"/>
    <w:rsid w:val="00084262"/>
    <w:rsid w:val="0008451E"/>
    <w:rsid w:val="00086F7E"/>
    <w:rsid w:val="000933DF"/>
    <w:rsid w:val="000A21B9"/>
    <w:rsid w:val="000B1FFF"/>
    <w:rsid w:val="000B686B"/>
    <w:rsid w:val="000C767A"/>
    <w:rsid w:val="000D77DC"/>
    <w:rsid w:val="000E3E53"/>
    <w:rsid w:val="000E51FD"/>
    <w:rsid w:val="000E56BC"/>
    <w:rsid w:val="000E5C0C"/>
    <w:rsid w:val="000E7BFE"/>
    <w:rsid w:val="00101081"/>
    <w:rsid w:val="00102B47"/>
    <w:rsid w:val="00103FF7"/>
    <w:rsid w:val="001053E5"/>
    <w:rsid w:val="0010685C"/>
    <w:rsid w:val="001129B2"/>
    <w:rsid w:val="00114E74"/>
    <w:rsid w:val="001152E6"/>
    <w:rsid w:val="00117D3B"/>
    <w:rsid w:val="00120321"/>
    <w:rsid w:val="00123954"/>
    <w:rsid w:val="001264D2"/>
    <w:rsid w:val="00127FE0"/>
    <w:rsid w:val="00130E80"/>
    <w:rsid w:val="00132D22"/>
    <w:rsid w:val="0013505B"/>
    <w:rsid w:val="001400EC"/>
    <w:rsid w:val="001410F0"/>
    <w:rsid w:val="00141303"/>
    <w:rsid w:val="001422BD"/>
    <w:rsid w:val="0014591E"/>
    <w:rsid w:val="00146483"/>
    <w:rsid w:val="00150D4E"/>
    <w:rsid w:val="00154F68"/>
    <w:rsid w:val="00156DD6"/>
    <w:rsid w:val="001633A8"/>
    <w:rsid w:val="00165707"/>
    <w:rsid w:val="0016673B"/>
    <w:rsid w:val="0017210D"/>
    <w:rsid w:val="00172952"/>
    <w:rsid w:val="00174B2C"/>
    <w:rsid w:val="00180D81"/>
    <w:rsid w:val="0018263C"/>
    <w:rsid w:val="0018786D"/>
    <w:rsid w:val="00190397"/>
    <w:rsid w:val="00196623"/>
    <w:rsid w:val="001A4B36"/>
    <w:rsid w:val="001A7C60"/>
    <w:rsid w:val="001B2F28"/>
    <w:rsid w:val="001C3A61"/>
    <w:rsid w:val="001C4167"/>
    <w:rsid w:val="001C7247"/>
    <w:rsid w:val="001E002F"/>
    <w:rsid w:val="001E6C1D"/>
    <w:rsid w:val="001E7954"/>
    <w:rsid w:val="001F0AFD"/>
    <w:rsid w:val="001F29ED"/>
    <w:rsid w:val="001F3DE3"/>
    <w:rsid w:val="001F3E5A"/>
    <w:rsid w:val="001F5D66"/>
    <w:rsid w:val="00200B94"/>
    <w:rsid w:val="00203A4C"/>
    <w:rsid w:val="00211C1B"/>
    <w:rsid w:val="002310F0"/>
    <w:rsid w:val="0023211B"/>
    <w:rsid w:val="002442FF"/>
    <w:rsid w:val="00246187"/>
    <w:rsid w:val="002579CF"/>
    <w:rsid w:val="00261215"/>
    <w:rsid w:val="00263B63"/>
    <w:rsid w:val="002672BE"/>
    <w:rsid w:val="00267351"/>
    <w:rsid w:val="00270258"/>
    <w:rsid w:val="0027492E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C254E"/>
    <w:rsid w:val="002C28DC"/>
    <w:rsid w:val="002C66A8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54C4"/>
    <w:rsid w:val="00316353"/>
    <w:rsid w:val="00320BD8"/>
    <w:rsid w:val="00321ADC"/>
    <w:rsid w:val="00337617"/>
    <w:rsid w:val="0035217E"/>
    <w:rsid w:val="003544F3"/>
    <w:rsid w:val="00366B16"/>
    <w:rsid w:val="00371C72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2651"/>
    <w:rsid w:val="003A4115"/>
    <w:rsid w:val="003A7511"/>
    <w:rsid w:val="003B03E5"/>
    <w:rsid w:val="003B2AD6"/>
    <w:rsid w:val="003B696A"/>
    <w:rsid w:val="003C03D4"/>
    <w:rsid w:val="003C3B1E"/>
    <w:rsid w:val="003D3969"/>
    <w:rsid w:val="003D3C73"/>
    <w:rsid w:val="003D48B2"/>
    <w:rsid w:val="003D5B11"/>
    <w:rsid w:val="003F50C8"/>
    <w:rsid w:val="003F6161"/>
    <w:rsid w:val="004109E3"/>
    <w:rsid w:val="00410CDB"/>
    <w:rsid w:val="00420357"/>
    <w:rsid w:val="004240C6"/>
    <w:rsid w:val="00427001"/>
    <w:rsid w:val="004302AE"/>
    <w:rsid w:val="00432EC9"/>
    <w:rsid w:val="0043456B"/>
    <w:rsid w:val="00435724"/>
    <w:rsid w:val="00436173"/>
    <w:rsid w:val="00441CA8"/>
    <w:rsid w:val="00444B0F"/>
    <w:rsid w:val="00446625"/>
    <w:rsid w:val="0045467E"/>
    <w:rsid w:val="00460770"/>
    <w:rsid w:val="0047185E"/>
    <w:rsid w:val="00471B9A"/>
    <w:rsid w:val="0047597B"/>
    <w:rsid w:val="00476A96"/>
    <w:rsid w:val="00476B6E"/>
    <w:rsid w:val="00485EC0"/>
    <w:rsid w:val="0048706F"/>
    <w:rsid w:val="00487110"/>
    <w:rsid w:val="004944D5"/>
    <w:rsid w:val="00496870"/>
    <w:rsid w:val="004A043C"/>
    <w:rsid w:val="004A2BB1"/>
    <w:rsid w:val="004A4D31"/>
    <w:rsid w:val="004A7594"/>
    <w:rsid w:val="004B0464"/>
    <w:rsid w:val="004B0B62"/>
    <w:rsid w:val="004B0F77"/>
    <w:rsid w:val="004B2F71"/>
    <w:rsid w:val="004B36B1"/>
    <w:rsid w:val="004B5CD8"/>
    <w:rsid w:val="004B6FB3"/>
    <w:rsid w:val="004C3013"/>
    <w:rsid w:val="004C51DE"/>
    <w:rsid w:val="004D6F1B"/>
    <w:rsid w:val="004E4599"/>
    <w:rsid w:val="004E6B54"/>
    <w:rsid w:val="004E6FC8"/>
    <w:rsid w:val="004E7AEC"/>
    <w:rsid w:val="004F2000"/>
    <w:rsid w:val="004F2F2A"/>
    <w:rsid w:val="004F5B56"/>
    <w:rsid w:val="00503F60"/>
    <w:rsid w:val="00506BC5"/>
    <w:rsid w:val="00507B70"/>
    <w:rsid w:val="00512FF3"/>
    <w:rsid w:val="00513DAE"/>
    <w:rsid w:val="0052071A"/>
    <w:rsid w:val="005227BF"/>
    <w:rsid w:val="00526C1B"/>
    <w:rsid w:val="00532FA1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6691D"/>
    <w:rsid w:val="0057047A"/>
    <w:rsid w:val="0057226D"/>
    <w:rsid w:val="00573BBE"/>
    <w:rsid w:val="00575B3C"/>
    <w:rsid w:val="0057669D"/>
    <w:rsid w:val="0057697A"/>
    <w:rsid w:val="0058110F"/>
    <w:rsid w:val="00583CAB"/>
    <w:rsid w:val="00583CEE"/>
    <w:rsid w:val="00586A2B"/>
    <w:rsid w:val="00586D24"/>
    <w:rsid w:val="005953C7"/>
    <w:rsid w:val="005A13E8"/>
    <w:rsid w:val="005A14EE"/>
    <w:rsid w:val="005A2364"/>
    <w:rsid w:val="005A7CA0"/>
    <w:rsid w:val="005B089D"/>
    <w:rsid w:val="005B3D09"/>
    <w:rsid w:val="005B48B6"/>
    <w:rsid w:val="005B4C3A"/>
    <w:rsid w:val="005B6C00"/>
    <w:rsid w:val="005C04AA"/>
    <w:rsid w:val="005C4C21"/>
    <w:rsid w:val="005C6209"/>
    <w:rsid w:val="005C7DD4"/>
    <w:rsid w:val="005D1D2F"/>
    <w:rsid w:val="005D407B"/>
    <w:rsid w:val="005D44BC"/>
    <w:rsid w:val="005D6158"/>
    <w:rsid w:val="005D7AF5"/>
    <w:rsid w:val="005E0DBE"/>
    <w:rsid w:val="005E2AB8"/>
    <w:rsid w:val="005F4EE3"/>
    <w:rsid w:val="005F56DC"/>
    <w:rsid w:val="005F593A"/>
    <w:rsid w:val="005F6861"/>
    <w:rsid w:val="00600B4C"/>
    <w:rsid w:val="0060101B"/>
    <w:rsid w:val="006012F1"/>
    <w:rsid w:val="006043A3"/>
    <w:rsid w:val="00604CF3"/>
    <w:rsid w:val="006068A9"/>
    <w:rsid w:val="006143B7"/>
    <w:rsid w:val="00616764"/>
    <w:rsid w:val="00622C45"/>
    <w:rsid w:val="00625636"/>
    <w:rsid w:val="00643D22"/>
    <w:rsid w:val="006442A5"/>
    <w:rsid w:val="0064620C"/>
    <w:rsid w:val="00651077"/>
    <w:rsid w:val="00655A76"/>
    <w:rsid w:val="006562ED"/>
    <w:rsid w:val="0065674A"/>
    <w:rsid w:val="0066047D"/>
    <w:rsid w:val="00660DB4"/>
    <w:rsid w:val="00665FC9"/>
    <w:rsid w:val="00672E46"/>
    <w:rsid w:val="00673B18"/>
    <w:rsid w:val="006742C5"/>
    <w:rsid w:val="00684395"/>
    <w:rsid w:val="00686EA9"/>
    <w:rsid w:val="00692920"/>
    <w:rsid w:val="006938E7"/>
    <w:rsid w:val="00697B8C"/>
    <w:rsid w:val="00697D9A"/>
    <w:rsid w:val="006B6ACA"/>
    <w:rsid w:val="006C16FE"/>
    <w:rsid w:val="006D5B6C"/>
    <w:rsid w:val="006D6E2D"/>
    <w:rsid w:val="006D70BA"/>
    <w:rsid w:val="006E15E7"/>
    <w:rsid w:val="006F2B9E"/>
    <w:rsid w:val="006F5069"/>
    <w:rsid w:val="006F5BA6"/>
    <w:rsid w:val="00700A6D"/>
    <w:rsid w:val="00700D70"/>
    <w:rsid w:val="00701C86"/>
    <w:rsid w:val="00702436"/>
    <w:rsid w:val="00702FA0"/>
    <w:rsid w:val="0070518C"/>
    <w:rsid w:val="00705819"/>
    <w:rsid w:val="00705E6B"/>
    <w:rsid w:val="00710C32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42972"/>
    <w:rsid w:val="00747023"/>
    <w:rsid w:val="00751312"/>
    <w:rsid w:val="00755831"/>
    <w:rsid w:val="00756701"/>
    <w:rsid w:val="00760FA5"/>
    <w:rsid w:val="00762EFE"/>
    <w:rsid w:val="00766742"/>
    <w:rsid w:val="0077250E"/>
    <w:rsid w:val="00775BF3"/>
    <w:rsid w:val="007769B1"/>
    <w:rsid w:val="00776DEF"/>
    <w:rsid w:val="0077774D"/>
    <w:rsid w:val="00781E20"/>
    <w:rsid w:val="00784423"/>
    <w:rsid w:val="0078751C"/>
    <w:rsid w:val="00791E35"/>
    <w:rsid w:val="0079244D"/>
    <w:rsid w:val="00793342"/>
    <w:rsid w:val="00793B2B"/>
    <w:rsid w:val="0079566C"/>
    <w:rsid w:val="007A25CD"/>
    <w:rsid w:val="007A7DD6"/>
    <w:rsid w:val="007B398A"/>
    <w:rsid w:val="007B4CB8"/>
    <w:rsid w:val="007B64CB"/>
    <w:rsid w:val="007B722E"/>
    <w:rsid w:val="007B7433"/>
    <w:rsid w:val="007C224D"/>
    <w:rsid w:val="007C27CD"/>
    <w:rsid w:val="007C5F06"/>
    <w:rsid w:val="007C64C3"/>
    <w:rsid w:val="007D0634"/>
    <w:rsid w:val="007D1247"/>
    <w:rsid w:val="007D36CA"/>
    <w:rsid w:val="007D66DF"/>
    <w:rsid w:val="007E390A"/>
    <w:rsid w:val="007F1C87"/>
    <w:rsid w:val="007F581C"/>
    <w:rsid w:val="00800A26"/>
    <w:rsid w:val="00810CBC"/>
    <w:rsid w:val="008111C4"/>
    <w:rsid w:val="00816ABA"/>
    <w:rsid w:val="00822FCA"/>
    <w:rsid w:val="00825BA9"/>
    <w:rsid w:val="00826769"/>
    <w:rsid w:val="00826DD5"/>
    <w:rsid w:val="00831E8B"/>
    <w:rsid w:val="0083285A"/>
    <w:rsid w:val="00835115"/>
    <w:rsid w:val="00836D92"/>
    <w:rsid w:val="00843516"/>
    <w:rsid w:val="008518B3"/>
    <w:rsid w:val="008521A3"/>
    <w:rsid w:val="008547C1"/>
    <w:rsid w:val="00856FF1"/>
    <w:rsid w:val="00867068"/>
    <w:rsid w:val="00876F39"/>
    <w:rsid w:val="008776AC"/>
    <w:rsid w:val="008810D7"/>
    <w:rsid w:val="00881C1B"/>
    <w:rsid w:val="00882130"/>
    <w:rsid w:val="00882612"/>
    <w:rsid w:val="00882F4D"/>
    <w:rsid w:val="00893122"/>
    <w:rsid w:val="00893659"/>
    <w:rsid w:val="008A1C01"/>
    <w:rsid w:val="008A53B8"/>
    <w:rsid w:val="008B40C4"/>
    <w:rsid w:val="008B6CB4"/>
    <w:rsid w:val="008B7EAC"/>
    <w:rsid w:val="008C13D7"/>
    <w:rsid w:val="008C315B"/>
    <w:rsid w:val="008D139B"/>
    <w:rsid w:val="008D302A"/>
    <w:rsid w:val="008D43B1"/>
    <w:rsid w:val="008D4C92"/>
    <w:rsid w:val="008E65BD"/>
    <w:rsid w:val="008F0072"/>
    <w:rsid w:val="008F2786"/>
    <w:rsid w:val="009007A6"/>
    <w:rsid w:val="009072B8"/>
    <w:rsid w:val="0090798C"/>
    <w:rsid w:val="00907EC0"/>
    <w:rsid w:val="009171D4"/>
    <w:rsid w:val="00920684"/>
    <w:rsid w:val="00921067"/>
    <w:rsid w:val="0092166E"/>
    <w:rsid w:val="00921CBB"/>
    <w:rsid w:val="00922EB2"/>
    <w:rsid w:val="00926446"/>
    <w:rsid w:val="0093496F"/>
    <w:rsid w:val="00936856"/>
    <w:rsid w:val="00941B96"/>
    <w:rsid w:val="00941FB4"/>
    <w:rsid w:val="00944B30"/>
    <w:rsid w:val="009472F9"/>
    <w:rsid w:val="00951C61"/>
    <w:rsid w:val="009530FD"/>
    <w:rsid w:val="0095589F"/>
    <w:rsid w:val="00956BF6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399E"/>
    <w:rsid w:val="009A5707"/>
    <w:rsid w:val="009A7135"/>
    <w:rsid w:val="009B7681"/>
    <w:rsid w:val="009C7195"/>
    <w:rsid w:val="009D4887"/>
    <w:rsid w:val="009D48CE"/>
    <w:rsid w:val="009D4D79"/>
    <w:rsid w:val="009D7297"/>
    <w:rsid w:val="009E0242"/>
    <w:rsid w:val="009E78A2"/>
    <w:rsid w:val="009F7D17"/>
    <w:rsid w:val="00A0280F"/>
    <w:rsid w:val="00A1111C"/>
    <w:rsid w:val="00A1189F"/>
    <w:rsid w:val="00A120FB"/>
    <w:rsid w:val="00A15C45"/>
    <w:rsid w:val="00A30F22"/>
    <w:rsid w:val="00A31F22"/>
    <w:rsid w:val="00A32C11"/>
    <w:rsid w:val="00A32DE7"/>
    <w:rsid w:val="00A3346B"/>
    <w:rsid w:val="00A3443F"/>
    <w:rsid w:val="00A418E1"/>
    <w:rsid w:val="00A501F6"/>
    <w:rsid w:val="00A51250"/>
    <w:rsid w:val="00A52DAB"/>
    <w:rsid w:val="00A54E59"/>
    <w:rsid w:val="00A57E4C"/>
    <w:rsid w:val="00A60335"/>
    <w:rsid w:val="00A62B10"/>
    <w:rsid w:val="00A66550"/>
    <w:rsid w:val="00A70687"/>
    <w:rsid w:val="00A73672"/>
    <w:rsid w:val="00A77BB9"/>
    <w:rsid w:val="00A81830"/>
    <w:rsid w:val="00A82F1C"/>
    <w:rsid w:val="00A84118"/>
    <w:rsid w:val="00A8744B"/>
    <w:rsid w:val="00A87A7E"/>
    <w:rsid w:val="00A87B6C"/>
    <w:rsid w:val="00A90D2E"/>
    <w:rsid w:val="00AA0198"/>
    <w:rsid w:val="00AA17FC"/>
    <w:rsid w:val="00AB4B8D"/>
    <w:rsid w:val="00AB74A8"/>
    <w:rsid w:val="00AB79B3"/>
    <w:rsid w:val="00AC0961"/>
    <w:rsid w:val="00AC4E9A"/>
    <w:rsid w:val="00AC5225"/>
    <w:rsid w:val="00AD2374"/>
    <w:rsid w:val="00AD7FC9"/>
    <w:rsid w:val="00AE224C"/>
    <w:rsid w:val="00AE49DD"/>
    <w:rsid w:val="00AE532E"/>
    <w:rsid w:val="00AF15A4"/>
    <w:rsid w:val="00B00B8E"/>
    <w:rsid w:val="00B018F7"/>
    <w:rsid w:val="00B01EB7"/>
    <w:rsid w:val="00B05D27"/>
    <w:rsid w:val="00B202BF"/>
    <w:rsid w:val="00B21D2C"/>
    <w:rsid w:val="00B2684F"/>
    <w:rsid w:val="00B276D5"/>
    <w:rsid w:val="00B31991"/>
    <w:rsid w:val="00B32938"/>
    <w:rsid w:val="00B337E2"/>
    <w:rsid w:val="00B34171"/>
    <w:rsid w:val="00B352BF"/>
    <w:rsid w:val="00B35A54"/>
    <w:rsid w:val="00B35B51"/>
    <w:rsid w:val="00B364F5"/>
    <w:rsid w:val="00B40F15"/>
    <w:rsid w:val="00B43121"/>
    <w:rsid w:val="00B43298"/>
    <w:rsid w:val="00B5118A"/>
    <w:rsid w:val="00B51324"/>
    <w:rsid w:val="00B54B08"/>
    <w:rsid w:val="00B60DF5"/>
    <w:rsid w:val="00B63C59"/>
    <w:rsid w:val="00B64102"/>
    <w:rsid w:val="00B64C56"/>
    <w:rsid w:val="00B70F4D"/>
    <w:rsid w:val="00B740AA"/>
    <w:rsid w:val="00B753AB"/>
    <w:rsid w:val="00B77382"/>
    <w:rsid w:val="00B8207E"/>
    <w:rsid w:val="00B823D2"/>
    <w:rsid w:val="00B84891"/>
    <w:rsid w:val="00B957CA"/>
    <w:rsid w:val="00BA0D0B"/>
    <w:rsid w:val="00BA37DA"/>
    <w:rsid w:val="00BB1BA9"/>
    <w:rsid w:val="00BB20B9"/>
    <w:rsid w:val="00BB530F"/>
    <w:rsid w:val="00BD6B44"/>
    <w:rsid w:val="00BF3BC1"/>
    <w:rsid w:val="00BF49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827C1"/>
    <w:rsid w:val="00C92489"/>
    <w:rsid w:val="00C94885"/>
    <w:rsid w:val="00C95BAA"/>
    <w:rsid w:val="00CA2A20"/>
    <w:rsid w:val="00CA6CC9"/>
    <w:rsid w:val="00CA7F82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4F2E"/>
    <w:rsid w:val="00D2756B"/>
    <w:rsid w:val="00D30D46"/>
    <w:rsid w:val="00D31096"/>
    <w:rsid w:val="00D333E2"/>
    <w:rsid w:val="00D33E55"/>
    <w:rsid w:val="00D41053"/>
    <w:rsid w:val="00D41229"/>
    <w:rsid w:val="00D42729"/>
    <w:rsid w:val="00D45857"/>
    <w:rsid w:val="00D45D1D"/>
    <w:rsid w:val="00D527B2"/>
    <w:rsid w:val="00D6027A"/>
    <w:rsid w:val="00D62F82"/>
    <w:rsid w:val="00D70EF4"/>
    <w:rsid w:val="00D74686"/>
    <w:rsid w:val="00D75D85"/>
    <w:rsid w:val="00D7690D"/>
    <w:rsid w:val="00D8047F"/>
    <w:rsid w:val="00D8335D"/>
    <w:rsid w:val="00D8791D"/>
    <w:rsid w:val="00D87FAA"/>
    <w:rsid w:val="00D9152C"/>
    <w:rsid w:val="00D92C03"/>
    <w:rsid w:val="00DA7E86"/>
    <w:rsid w:val="00DB0EA4"/>
    <w:rsid w:val="00DB3B72"/>
    <w:rsid w:val="00DB3E23"/>
    <w:rsid w:val="00DB41DD"/>
    <w:rsid w:val="00DB4CA0"/>
    <w:rsid w:val="00DC4FD5"/>
    <w:rsid w:val="00DC5D5F"/>
    <w:rsid w:val="00DD6648"/>
    <w:rsid w:val="00DE04B9"/>
    <w:rsid w:val="00DE787A"/>
    <w:rsid w:val="00DE7937"/>
    <w:rsid w:val="00DF071B"/>
    <w:rsid w:val="00DF1EA2"/>
    <w:rsid w:val="00DF705A"/>
    <w:rsid w:val="00E00F8D"/>
    <w:rsid w:val="00E05171"/>
    <w:rsid w:val="00E05230"/>
    <w:rsid w:val="00E13F2F"/>
    <w:rsid w:val="00E17180"/>
    <w:rsid w:val="00E21E07"/>
    <w:rsid w:val="00E23D63"/>
    <w:rsid w:val="00E23E4F"/>
    <w:rsid w:val="00E31441"/>
    <w:rsid w:val="00E34D33"/>
    <w:rsid w:val="00E41360"/>
    <w:rsid w:val="00E41DD2"/>
    <w:rsid w:val="00E42375"/>
    <w:rsid w:val="00E4481D"/>
    <w:rsid w:val="00E4597F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86B5B"/>
    <w:rsid w:val="00E94FD8"/>
    <w:rsid w:val="00E95A02"/>
    <w:rsid w:val="00E963C2"/>
    <w:rsid w:val="00E96BC8"/>
    <w:rsid w:val="00EA7E6A"/>
    <w:rsid w:val="00EB0089"/>
    <w:rsid w:val="00EB4C1E"/>
    <w:rsid w:val="00EB5863"/>
    <w:rsid w:val="00EC0A49"/>
    <w:rsid w:val="00EC2DE8"/>
    <w:rsid w:val="00ED0307"/>
    <w:rsid w:val="00ED1C14"/>
    <w:rsid w:val="00EE1C82"/>
    <w:rsid w:val="00EE3D5F"/>
    <w:rsid w:val="00EE4231"/>
    <w:rsid w:val="00EE55A9"/>
    <w:rsid w:val="00EE6F09"/>
    <w:rsid w:val="00EF6A24"/>
    <w:rsid w:val="00F03086"/>
    <w:rsid w:val="00F10768"/>
    <w:rsid w:val="00F11B8F"/>
    <w:rsid w:val="00F12EC5"/>
    <w:rsid w:val="00F159B2"/>
    <w:rsid w:val="00F2336F"/>
    <w:rsid w:val="00F26172"/>
    <w:rsid w:val="00F329D7"/>
    <w:rsid w:val="00F3414C"/>
    <w:rsid w:val="00F44C3E"/>
    <w:rsid w:val="00F504FA"/>
    <w:rsid w:val="00F51D49"/>
    <w:rsid w:val="00F54317"/>
    <w:rsid w:val="00F6007C"/>
    <w:rsid w:val="00F62C2D"/>
    <w:rsid w:val="00F709F4"/>
    <w:rsid w:val="00F7233A"/>
    <w:rsid w:val="00F723B0"/>
    <w:rsid w:val="00F72A61"/>
    <w:rsid w:val="00F85BF1"/>
    <w:rsid w:val="00F8693C"/>
    <w:rsid w:val="00F932FE"/>
    <w:rsid w:val="00F95CAC"/>
    <w:rsid w:val="00FA196F"/>
    <w:rsid w:val="00FA5827"/>
    <w:rsid w:val="00FB06BD"/>
    <w:rsid w:val="00FB5789"/>
    <w:rsid w:val="00FB688C"/>
    <w:rsid w:val="00FB7BFC"/>
    <w:rsid w:val="00FC5730"/>
    <w:rsid w:val="00FD09BB"/>
    <w:rsid w:val="00FD5B9B"/>
    <w:rsid w:val="00FE1265"/>
    <w:rsid w:val="00FF0BF2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9A1CF59"/>
  <w15:chartTrackingRefBased/>
  <w15:docId w15:val="{5029B880-C79A-4062-A6EE-6112BCA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BodyTextIndent">
    <w:name w:val="Body Text Indent"/>
    <w:basedOn w:val="Normal"/>
    <w:link w:val="BodyTextIndentChar"/>
    <w:unhideWhenUsed/>
    <w:rsid w:val="007933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BodyTextIndentChar">
    <w:name w:val="Body Text Indent Char"/>
    <w:link w:val="BodyTextIndent"/>
    <w:rsid w:val="00793342"/>
    <w:rPr>
      <w:sz w:val="24"/>
    </w:rPr>
  </w:style>
  <w:style w:type="character" w:styleId="CommentReference">
    <w:name w:val="annotation reference"/>
    <w:basedOn w:val="DefaultParagraphFont"/>
    <w:rsid w:val="00102B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2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2B47"/>
    <w:rPr>
      <w:rFonts w:eastAsia="Times New Roman"/>
      <w:b/>
      <w:bCs/>
      <w:sz w:val="20"/>
      <w:szCs w:val="20"/>
      <w:lang w:eastAsia="lv-LV"/>
    </w:rPr>
  </w:style>
  <w:style w:type="paragraph" w:customStyle="1" w:styleId="tv213">
    <w:name w:val="tv213"/>
    <w:basedOn w:val="Normal"/>
    <w:rsid w:val="00A3346B"/>
    <w:pPr>
      <w:spacing w:before="100" w:beforeAutospacing="1" w:after="100" w:afterAutospacing="1"/>
    </w:pPr>
  </w:style>
  <w:style w:type="character" w:customStyle="1" w:styleId="fontsize2">
    <w:name w:val="fontsize2"/>
    <w:basedOn w:val="DefaultParagraphFont"/>
    <w:rsid w:val="00A3346B"/>
  </w:style>
  <w:style w:type="paragraph" w:styleId="Revision">
    <w:name w:val="Revision"/>
    <w:hidden/>
    <w:uiPriority w:val="99"/>
    <w:semiHidden/>
    <w:rsid w:val="00475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3D58-43F8-4257-9546-EFFF7141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Jurmalas pilsetas dome</Company>
  <LinksUpToDate>false</LinksUpToDate>
  <CharactersWithSpaces>4711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Zane Pētersone</cp:lastModifiedBy>
  <cp:revision>2</cp:revision>
  <cp:lastPrinted>2025-10-30T11:39:00Z</cp:lastPrinted>
  <dcterms:created xsi:type="dcterms:W3CDTF">2025-10-30T14:51:00Z</dcterms:created>
  <dcterms:modified xsi:type="dcterms:W3CDTF">2025-10-30T14:51:00Z</dcterms:modified>
</cp:coreProperties>
</file>