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20A6A235"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piparkūkas, konditoreja</w:t>
      </w:r>
      <w:r w:rsidR="00297A0B">
        <w:rPr>
          <w:rFonts w:ascii="Times New Roman" w:hAnsi="Times New Roman" w:cs="Times New Roman"/>
        </w:rPr>
        <w:t>,</w:t>
      </w:r>
      <w:r w:rsidR="0099573A">
        <w:rPr>
          <w:rFonts w:ascii="Times New Roman" w:hAnsi="Times New Roman" w:cs="Times New Roman"/>
        </w:rPr>
        <w:t xml:space="preserve"> </w:t>
      </w:r>
      <w:r w:rsidR="00F829EB">
        <w:rPr>
          <w:rFonts w:ascii="Times New Roman" w:hAnsi="Times New Roman" w:cs="Times New Roman"/>
        </w:rPr>
        <w:t xml:space="preserve">maize, </w:t>
      </w:r>
      <w:r w:rsidR="0099573A">
        <w:rPr>
          <w:rFonts w:ascii="Times New Roman" w:hAnsi="Times New Roman" w:cs="Times New Roman"/>
        </w:rPr>
        <w:t>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w:t>
      </w:r>
      <w:r w:rsidR="00F829EB">
        <w:rPr>
          <w:rFonts w:ascii="Times New Roman" w:hAnsi="Times New Roman" w:cs="Times New Roman"/>
        </w:rPr>
        <w:t>, Latvijā izdotas grāmatas, galda spēles, rotaļlietas</w:t>
      </w:r>
      <w:r w:rsidR="005B7B41">
        <w:rPr>
          <w:rFonts w:ascii="Times New Roman" w:hAnsi="Times New Roman" w:cs="Times New Roman"/>
        </w:rPr>
        <w:t xml:space="preserve"> u.c.</w:t>
      </w:r>
      <w:r w:rsidR="003E7C17">
        <w:rPr>
          <w:rFonts w:ascii="Times New Roman" w:hAnsi="Times New Roman" w:cs="Times New Roman"/>
        </w:rPr>
        <w:t xml:space="preserve"> Latvijā veidoti Ziemassvētku tematikas</w:t>
      </w:r>
      <w:r w:rsidR="00DF4D85">
        <w:rPr>
          <w:rFonts w:ascii="Times New Roman" w:hAnsi="Times New Roman" w:cs="Times New Roman"/>
        </w:rPr>
        <w:t xml:space="preserve"> </w:t>
      </w:r>
      <w:r w:rsidR="003E7C17">
        <w:rPr>
          <w:rFonts w:ascii="Times New Roman" w:hAnsi="Times New Roman" w:cs="Times New Roman"/>
        </w:rPr>
        <w:t xml:space="preserve">dekoratīvie rotājumi – Adventes vainagi, eglīšu rotājumi, dekori </w:t>
      </w:r>
      <w:r w:rsidR="005B7B41">
        <w:rPr>
          <w:rFonts w:ascii="Times New Roman" w:hAnsi="Times New Roman" w:cs="Times New Roman"/>
        </w:rPr>
        <w:t xml:space="preserve"> u.c.</w:t>
      </w:r>
      <w:r w:rsidR="000A7F31" w:rsidRPr="005877CE">
        <w:rPr>
          <w:rFonts w:ascii="Times New Roman" w:hAnsi="Times New Roman" w:cs="Times New Roman"/>
          <w:color w:val="292B2C"/>
          <w:shd w:val="clear" w:color="auto" w:fill="FFFFFF"/>
        </w:rPr>
        <w:t xml:space="preserve"> </w:t>
      </w:r>
    </w:p>
    <w:p w14:paraId="6C9F930D" w14:textId="258510CE"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w:t>
      </w:r>
      <w:r w:rsidR="003E7C17">
        <w:rPr>
          <w:rFonts w:ascii="Times New Roman" w:hAnsi="Times New Roman" w:cs="Times New Roman"/>
        </w:rPr>
        <w:t xml:space="preserve">10 tirdzniecības vietas Horna dārzā izvietotajos koka namiņos, </w:t>
      </w:r>
      <w:r w:rsidR="00E04906" w:rsidRPr="005803E4">
        <w:rPr>
          <w:rFonts w:ascii="Times New Roman" w:hAnsi="Times New Roman" w:cs="Times New Roman"/>
        </w:rPr>
        <w:t xml:space="preserve">līdz </w:t>
      </w:r>
      <w:r w:rsidR="00DF4D85" w:rsidRPr="005803E4">
        <w:rPr>
          <w:rFonts w:ascii="Times New Roman" w:hAnsi="Times New Roman" w:cs="Times New Roman"/>
        </w:rPr>
        <w:t>25</w:t>
      </w:r>
      <w:r w:rsidR="005B7B41" w:rsidRPr="005803E4">
        <w:rPr>
          <w:rFonts w:ascii="Times New Roman" w:hAnsi="Times New Roman" w:cs="Times New Roman"/>
        </w:rPr>
        <w:t xml:space="preserve"> </w:t>
      </w:r>
      <w:r w:rsidR="00E04906" w:rsidRPr="005803E4">
        <w:rPr>
          <w:rFonts w:ascii="Times New Roman" w:hAnsi="Times New Roman" w:cs="Times New Roman"/>
        </w:rPr>
        <w:t>tirdzniecības</w:t>
      </w:r>
      <w:r w:rsidR="00E04906" w:rsidRPr="005877CE">
        <w:rPr>
          <w:rFonts w:ascii="Times New Roman" w:hAnsi="Times New Roman" w:cs="Times New Roman"/>
        </w:rPr>
        <w:t xml:space="preserve"> vietām</w:t>
      </w:r>
      <w:r w:rsidR="00DF4D85">
        <w:rPr>
          <w:rFonts w:ascii="Times New Roman" w:hAnsi="Times New Roman" w:cs="Times New Roman"/>
        </w:rPr>
        <w:t xml:space="preserve"> </w:t>
      </w:r>
      <w:proofErr w:type="spellStart"/>
      <w:r w:rsidR="00DF4D85">
        <w:rPr>
          <w:rFonts w:ascii="Times New Roman" w:hAnsi="Times New Roman" w:cs="Times New Roman"/>
        </w:rPr>
        <w:t>Horna</w:t>
      </w:r>
      <w:proofErr w:type="spellEnd"/>
      <w:r w:rsidR="00DF4D85">
        <w:rPr>
          <w:rFonts w:ascii="Times New Roman" w:hAnsi="Times New Roman" w:cs="Times New Roman"/>
        </w:rPr>
        <w:t xml:space="preserve"> dārzā un </w:t>
      </w:r>
      <w:r w:rsidR="00DF4D85">
        <w:rPr>
          <w:rFonts w:ascii="Times New Roman" w:hAnsi="Times New Roman" w:cs="Times New Roman"/>
        </w:rPr>
        <w:t>Jomas iel</w:t>
      </w:r>
      <w:r w:rsidR="00DF4D85">
        <w:rPr>
          <w:rFonts w:ascii="Times New Roman" w:hAnsi="Times New Roman" w:cs="Times New Roman"/>
        </w:rPr>
        <w:t>a</w:t>
      </w:r>
      <w:r w:rsidR="00DF4D85">
        <w:rPr>
          <w:rFonts w:ascii="Times New Roman" w:hAnsi="Times New Roman" w:cs="Times New Roman"/>
        </w:rPr>
        <w:t xml:space="preserve"> posmā no Tirgoņu ielas līdz Omnibusa ielai</w:t>
      </w:r>
      <w:r w:rsidR="00DF4D85">
        <w:rPr>
          <w:rFonts w:ascii="Times New Roman" w:hAnsi="Times New Roman" w:cs="Times New Roman"/>
        </w:rPr>
        <w:t xml:space="preserve">, </w:t>
      </w:r>
      <w:r w:rsidR="00DF4D85" w:rsidRPr="005803E4">
        <w:rPr>
          <w:rFonts w:ascii="Times New Roman" w:hAnsi="Times New Roman" w:cs="Times New Roman"/>
        </w:rPr>
        <w:t>l</w:t>
      </w:r>
      <w:r w:rsidR="00F829EB" w:rsidRPr="005803E4">
        <w:rPr>
          <w:rFonts w:ascii="Times New Roman" w:hAnsi="Times New Roman" w:cs="Times New Roman"/>
        </w:rPr>
        <w:t>īdz 4</w:t>
      </w:r>
      <w:r w:rsidR="005B7B41" w:rsidRPr="005803E4">
        <w:rPr>
          <w:rFonts w:ascii="Times New Roman" w:hAnsi="Times New Roman" w:cs="Times New Roman"/>
        </w:rPr>
        <w:t xml:space="preserve"> </w:t>
      </w:r>
      <w:r w:rsidR="008C75AC" w:rsidRPr="005803E4">
        <w:rPr>
          <w:rFonts w:ascii="Times New Roman" w:hAnsi="Times New Roman" w:cs="Times New Roman"/>
        </w:rPr>
        <w:t xml:space="preserve">sabiedriskās </w:t>
      </w:r>
      <w:r w:rsidR="00E14568" w:rsidRPr="005803E4">
        <w:rPr>
          <w:rFonts w:ascii="Times New Roman" w:hAnsi="Times New Roman" w:cs="Times New Roman"/>
        </w:rPr>
        <w:t>ēdināšanas</w:t>
      </w:r>
      <w:r w:rsidR="00E14568">
        <w:rPr>
          <w:rFonts w:ascii="Times New Roman" w:hAnsi="Times New Roman" w:cs="Times New Roman"/>
        </w:rPr>
        <w:t xml:space="preserve"> pakalpojumu sniedzēju vietām</w:t>
      </w:r>
      <w:r w:rsidR="00E04906" w:rsidRPr="005877CE">
        <w:rPr>
          <w:rFonts w:ascii="Times New Roman" w:hAnsi="Times New Roman" w:cs="Times New Roman"/>
        </w:rPr>
        <w:t>.</w:t>
      </w:r>
      <w:r w:rsidR="00E04906">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6DF6DB46"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3E7C17">
        <w:rPr>
          <w:rFonts w:ascii="Times New Roman" w:hAnsi="Times New Roman" w:cs="Times New Roman"/>
        </w:rPr>
        <w:t xml:space="preserve">Horna Dārzs un Jomas iela posmā no </w:t>
      </w:r>
      <w:r w:rsidR="00DF4D85">
        <w:rPr>
          <w:rFonts w:ascii="Times New Roman" w:hAnsi="Times New Roman" w:cs="Times New Roman"/>
        </w:rPr>
        <w:t xml:space="preserve">Tirgoņu ielas </w:t>
      </w:r>
      <w:r w:rsidR="003E7C17">
        <w:rPr>
          <w:rFonts w:ascii="Times New Roman" w:hAnsi="Times New Roman" w:cs="Times New Roman"/>
        </w:rPr>
        <w:t xml:space="preserve">līdz Omnibusa ielai </w:t>
      </w:r>
      <w:r w:rsidR="005877CE">
        <w:rPr>
          <w:rFonts w:ascii="Times New Roman" w:hAnsi="Times New Roman" w:cs="Times New Roman"/>
        </w:rPr>
        <w:t>.</w:t>
      </w:r>
      <w:r w:rsidRPr="005877CE">
        <w:rPr>
          <w:rFonts w:ascii="Times New Roman" w:hAnsi="Times New Roman" w:cs="Times New Roman"/>
        </w:rPr>
        <w:t xml:space="preserve"> </w:t>
      </w:r>
    </w:p>
    <w:p w14:paraId="775EAD19" w14:textId="576AE360"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3E7C17">
        <w:rPr>
          <w:rFonts w:ascii="Times New Roman" w:hAnsi="Times New Roman" w:cs="Times New Roman"/>
        </w:rPr>
        <w:t>2023. gada 2.decembris</w:t>
      </w:r>
      <w:r w:rsidR="007B2D5E">
        <w:rPr>
          <w:rFonts w:ascii="Times New Roman" w:hAnsi="Times New Roman" w:cs="Times New Roman"/>
        </w:rPr>
        <w:t>, n</w:t>
      </w:r>
      <w:r w:rsidR="00F829EB">
        <w:rPr>
          <w:rFonts w:ascii="Times New Roman" w:hAnsi="Times New Roman" w:cs="Times New Roman"/>
        </w:rPr>
        <w:t>o plkst. 12.</w:t>
      </w:r>
      <w:r w:rsidR="003E7C17">
        <w:rPr>
          <w:rFonts w:ascii="Times New Roman" w:hAnsi="Times New Roman" w:cs="Times New Roman"/>
        </w:rPr>
        <w:t>00 – 17</w:t>
      </w:r>
      <w:r>
        <w:rPr>
          <w:rFonts w:ascii="Times New Roman" w:hAnsi="Times New Roman" w:cs="Times New Roman"/>
        </w:rPr>
        <w:t>.00.</w:t>
      </w:r>
    </w:p>
    <w:p w14:paraId="32BC7E5A" w14:textId="1909CD60"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3E7C17">
        <w:rPr>
          <w:rFonts w:ascii="Times New Roman" w:hAnsi="Times New Roman" w:cs="Times New Roman"/>
        </w:rPr>
        <w:t>2023. gada 2.decem</w:t>
      </w:r>
      <w:r w:rsidR="00F829EB">
        <w:rPr>
          <w:rFonts w:ascii="Times New Roman" w:hAnsi="Times New Roman" w:cs="Times New Roman"/>
        </w:rPr>
        <w:t>bris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F829EB">
        <w:rPr>
          <w:rFonts w:ascii="Times New Roman" w:hAnsi="Times New Roman" w:cs="Times New Roman"/>
        </w:rPr>
        <w:t xml:space="preserve"> plkst. </w:t>
      </w:r>
      <w:r w:rsidR="005803E4">
        <w:rPr>
          <w:rFonts w:ascii="Times New Roman" w:hAnsi="Times New Roman" w:cs="Times New Roman"/>
        </w:rPr>
        <w:t>8</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1180990E"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3E7C17">
        <w:rPr>
          <w:rFonts w:ascii="Times New Roman" w:hAnsi="Times New Roman" w:cs="Times New Roman"/>
        </w:rPr>
        <w:t>3. gada 2.decembris, no plkst. 17</w:t>
      </w:r>
      <w:r w:rsidR="00F829EB">
        <w:rPr>
          <w:rFonts w:ascii="Times New Roman" w:hAnsi="Times New Roman" w:cs="Times New Roman"/>
        </w:rPr>
        <w:t>.15</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68E50B63"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w:t>
      </w:r>
      <w:r w:rsidR="003E7C17">
        <w:rPr>
          <w:rFonts w:ascii="Times New Roman" w:hAnsi="Times New Roman" w:cs="Times New Roman"/>
        </w:rPr>
        <w:t>nfrastruktūras (mājiņu Horna dārzā</w:t>
      </w:r>
      <w:r w:rsidRPr="001515DB">
        <w:rPr>
          <w:rFonts w:ascii="Times New Roman" w:hAnsi="Times New Roman" w:cs="Times New Roman"/>
        </w:rPr>
        <w:t>)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lastRenderedPageBreak/>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7799D6C2"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5F1F23">
        <w:rPr>
          <w:rFonts w:ascii="Times New Roman" w:hAnsi="Times New Roman" w:cs="Times New Roman"/>
        </w:rPr>
        <w:t>lāk kā līdz 1.12</w:t>
      </w:r>
      <w:r w:rsidR="004F3DFA">
        <w:rPr>
          <w:rFonts w:ascii="Times New Roman" w:hAnsi="Times New Roman" w:cs="Times New Roman"/>
        </w:rPr>
        <w:t>.2023</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20291998" w14:textId="715095B9" w:rsidR="00961505" w:rsidRPr="00F829EB" w:rsidRDefault="002166C0" w:rsidP="00F829E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sidR="00B73FB4" w:rsidRPr="00F829EB">
        <w:rPr>
          <w:rFonts w:ascii="Times New Roman" w:hAnsi="Times New Roman" w:cs="Times New Roman"/>
        </w:rPr>
        <w:t>.</w:t>
      </w:r>
    </w:p>
    <w:p w14:paraId="26CE3068" w14:textId="63BF68C7"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5F1F23">
        <w:rPr>
          <w:rFonts w:ascii="Times New Roman" w:hAnsi="Times New Roman" w:cs="Times New Roman"/>
        </w:rPr>
        <w:t>24.11</w:t>
      </w:r>
      <w:r w:rsidR="00B85D61" w:rsidRPr="002166C0">
        <w:rPr>
          <w:rFonts w:ascii="Times New Roman" w:hAnsi="Times New Roman" w:cs="Times New Roman"/>
        </w:rPr>
        <w:t>.</w:t>
      </w:r>
      <w:r w:rsidR="004F3DFA">
        <w:rPr>
          <w:rFonts w:ascii="Times New Roman" w:hAnsi="Times New Roman" w:cs="Times New Roman"/>
        </w:rPr>
        <w:t>2023.</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F829E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A6EFD62" w14:textId="77777777" w:rsidR="00B85D61" w:rsidRDefault="00B85D61" w:rsidP="009E2AA7">
      <w:pPr>
        <w:spacing w:after="0"/>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1A5A39A4"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Organizators informē pretendentu par dalību tirdziņā vai atteikumu taj</w:t>
      </w:r>
      <w:r w:rsidR="00F83901">
        <w:rPr>
          <w:rFonts w:ascii="Times New Roman" w:hAnsi="Times New Roman" w:cs="Times New Roman"/>
        </w:rPr>
        <w:t>ā piedalīties līdz 24.11.2023</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892040222">
    <w:abstractNumId w:val="9"/>
  </w:num>
  <w:num w:numId="2" w16cid:durableId="828907236">
    <w:abstractNumId w:val="12"/>
  </w:num>
  <w:num w:numId="3" w16cid:durableId="1836145150">
    <w:abstractNumId w:val="10"/>
  </w:num>
  <w:num w:numId="4" w16cid:durableId="1932658258">
    <w:abstractNumId w:val="11"/>
  </w:num>
  <w:num w:numId="5" w16cid:durableId="1784153392">
    <w:abstractNumId w:val="1"/>
  </w:num>
  <w:num w:numId="6" w16cid:durableId="1812211566">
    <w:abstractNumId w:val="3"/>
  </w:num>
  <w:num w:numId="7" w16cid:durableId="289632134">
    <w:abstractNumId w:val="2"/>
  </w:num>
  <w:num w:numId="8" w16cid:durableId="1652447545">
    <w:abstractNumId w:val="6"/>
  </w:num>
  <w:num w:numId="9" w16cid:durableId="326401387">
    <w:abstractNumId w:val="7"/>
  </w:num>
  <w:num w:numId="10" w16cid:durableId="372774681">
    <w:abstractNumId w:val="4"/>
  </w:num>
  <w:num w:numId="11" w16cid:durableId="1996954590">
    <w:abstractNumId w:val="0"/>
  </w:num>
  <w:num w:numId="12" w16cid:durableId="1815174416">
    <w:abstractNumId w:val="5"/>
  </w:num>
  <w:num w:numId="13" w16cid:durableId="666715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A05DD"/>
    <w:rsid w:val="000A7F31"/>
    <w:rsid w:val="000B466F"/>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10863"/>
    <w:rsid w:val="00322180"/>
    <w:rsid w:val="0032647B"/>
    <w:rsid w:val="00346464"/>
    <w:rsid w:val="003652C1"/>
    <w:rsid w:val="003653B4"/>
    <w:rsid w:val="00387DD4"/>
    <w:rsid w:val="003D013D"/>
    <w:rsid w:val="003E0E7A"/>
    <w:rsid w:val="003E7C17"/>
    <w:rsid w:val="00442E9F"/>
    <w:rsid w:val="00452E4F"/>
    <w:rsid w:val="00464E06"/>
    <w:rsid w:val="004D2963"/>
    <w:rsid w:val="004E30D2"/>
    <w:rsid w:val="004E5C4C"/>
    <w:rsid w:val="004F3DFA"/>
    <w:rsid w:val="00532DAE"/>
    <w:rsid w:val="00552E09"/>
    <w:rsid w:val="005803E4"/>
    <w:rsid w:val="005877CE"/>
    <w:rsid w:val="005A424D"/>
    <w:rsid w:val="005B4BA7"/>
    <w:rsid w:val="005B7B41"/>
    <w:rsid w:val="005B7BFC"/>
    <w:rsid w:val="005D013E"/>
    <w:rsid w:val="005F1910"/>
    <w:rsid w:val="005F1F23"/>
    <w:rsid w:val="006065D7"/>
    <w:rsid w:val="00614A79"/>
    <w:rsid w:val="00640BBB"/>
    <w:rsid w:val="00643088"/>
    <w:rsid w:val="00665338"/>
    <w:rsid w:val="00681B59"/>
    <w:rsid w:val="006A06BD"/>
    <w:rsid w:val="006A7DF0"/>
    <w:rsid w:val="006C23FA"/>
    <w:rsid w:val="006C62C7"/>
    <w:rsid w:val="006F0F15"/>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B34A9"/>
    <w:rsid w:val="008C1C53"/>
    <w:rsid w:val="008C25D7"/>
    <w:rsid w:val="008C75AC"/>
    <w:rsid w:val="008D04D8"/>
    <w:rsid w:val="00926307"/>
    <w:rsid w:val="00931D9C"/>
    <w:rsid w:val="00951033"/>
    <w:rsid w:val="00957432"/>
    <w:rsid w:val="00961505"/>
    <w:rsid w:val="00972A35"/>
    <w:rsid w:val="0099573A"/>
    <w:rsid w:val="009A5307"/>
    <w:rsid w:val="009A5D9A"/>
    <w:rsid w:val="009E2AA7"/>
    <w:rsid w:val="009E6A6C"/>
    <w:rsid w:val="00A35C7B"/>
    <w:rsid w:val="00AB387E"/>
    <w:rsid w:val="00AC6800"/>
    <w:rsid w:val="00AF3413"/>
    <w:rsid w:val="00B03FB5"/>
    <w:rsid w:val="00B040B9"/>
    <w:rsid w:val="00B73FB4"/>
    <w:rsid w:val="00B75528"/>
    <w:rsid w:val="00B85D61"/>
    <w:rsid w:val="00B96451"/>
    <w:rsid w:val="00B9782E"/>
    <w:rsid w:val="00BA032E"/>
    <w:rsid w:val="00BB550E"/>
    <w:rsid w:val="00BE1329"/>
    <w:rsid w:val="00BF6E56"/>
    <w:rsid w:val="00C47583"/>
    <w:rsid w:val="00C53CB0"/>
    <w:rsid w:val="00C60566"/>
    <w:rsid w:val="00C629DB"/>
    <w:rsid w:val="00CB7E08"/>
    <w:rsid w:val="00CC5598"/>
    <w:rsid w:val="00D17626"/>
    <w:rsid w:val="00D23544"/>
    <w:rsid w:val="00D24CD0"/>
    <w:rsid w:val="00D74868"/>
    <w:rsid w:val="00D917BE"/>
    <w:rsid w:val="00D9459A"/>
    <w:rsid w:val="00DE1B5D"/>
    <w:rsid w:val="00DE4666"/>
    <w:rsid w:val="00DF4D85"/>
    <w:rsid w:val="00E04906"/>
    <w:rsid w:val="00E14568"/>
    <w:rsid w:val="00E5109A"/>
    <w:rsid w:val="00E61914"/>
    <w:rsid w:val="00E7359C"/>
    <w:rsid w:val="00EC663F"/>
    <w:rsid w:val="00EE768B"/>
    <w:rsid w:val="00F21B76"/>
    <w:rsid w:val="00F229FD"/>
    <w:rsid w:val="00F33E5B"/>
    <w:rsid w:val="00F775B3"/>
    <w:rsid w:val="00F829EB"/>
    <w:rsid w:val="00F83901"/>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0755-1402-46C0-9364-CD8819B3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4571</Words>
  <Characters>2607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2</cp:revision>
  <cp:lastPrinted>2022-09-05T10:09:00Z</cp:lastPrinted>
  <dcterms:created xsi:type="dcterms:W3CDTF">2023-11-14T09:30:00Z</dcterms:created>
  <dcterms:modified xsi:type="dcterms:W3CDTF">2023-11-14T09:30:00Z</dcterms:modified>
</cp:coreProperties>
</file>