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2CD0" w14:textId="77777777" w:rsidR="00873C75" w:rsidRPr="0048505B" w:rsidRDefault="00873C75" w:rsidP="00873C75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1C5D28F7" w14:textId="2EF38FE0" w:rsidR="00873C75" w:rsidRPr="0048505B" w:rsidRDefault="00873C75" w:rsidP="00873C75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</w:p>
    <w:p w14:paraId="3CF959CE" w14:textId="77777777" w:rsidR="00873C75" w:rsidRPr="0048505B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44F71804" w14:textId="77777777" w:rsidR="00873C75" w:rsidRPr="0048505B" w:rsidRDefault="00873C75" w:rsidP="00873C75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</w:pPr>
      <w:r>
        <w:t xml:space="preserve">pielikums </w:t>
      </w:r>
    </w:p>
    <w:p w14:paraId="566125AC" w14:textId="77777777" w:rsidR="00873C75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</w:p>
    <w:p w14:paraId="0CC83E6A" w14:textId="77777777" w:rsidR="006B3BEC" w:rsidRDefault="006B3BEC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p w14:paraId="67EF179E" w14:textId="77777777" w:rsidR="00873C75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5A69E3F6" w14:textId="77777777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3BC22B40" w14:textId="77777777" w:rsidR="00C1285A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</w:p>
    <w:p w14:paraId="2B5B2CDC" w14:textId="50E351B3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873C75" w:rsidRPr="00674104" w14:paraId="73208374" w14:textId="77777777" w:rsidTr="00794FC3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3D4BB40" w14:textId="77777777" w:rsidR="00873C75" w:rsidRPr="00674104" w:rsidRDefault="00873C75" w:rsidP="00C1285A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</w:tr>
      <w:tr w:rsidR="00873C75" w:rsidRPr="00674104" w14:paraId="172D367A" w14:textId="77777777" w:rsidTr="00794FC3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415FE6FC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873C75" w:rsidRPr="00674104" w14:paraId="6FE5EC6B" w14:textId="77777777" w:rsidTr="00794FC3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C8FB37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73861221" w14:textId="77777777" w:rsidTr="0079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2ABCA8B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873C75" w:rsidRPr="00674104" w14:paraId="38EACBEC" w14:textId="77777777" w:rsidTr="00794FC3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797281C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22BE236B" w14:textId="77777777" w:rsidTr="00794FC3">
        <w:trPr>
          <w:trHeight w:val="400"/>
        </w:trPr>
        <w:tc>
          <w:tcPr>
            <w:tcW w:w="4878" w:type="dxa"/>
            <w:gridSpan w:val="2"/>
          </w:tcPr>
          <w:p w14:paraId="229E01F7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73618CAB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005E834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44DFA1C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524EE8E0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3848B27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57F357F2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proofErr w:type="gramStart"/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</w:t>
      </w:r>
      <w:proofErr w:type="gramEnd"/>
      <w:r w:rsidRPr="00674104">
        <w:rPr>
          <w:bCs/>
          <w:spacing w:val="2"/>
          <w:szCs w:val="24"/>
        </w:rPr>
        <w:t xml:space="preserve"> persona </w:t>
      </w:r>
    </w:p>
    <w:p w14:paraId="2D81BB2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64F591A5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BE155E9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4EA9A5DC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D4CB712" w14:textId="77777777" w:rsidR="00873C75" w:rsidRPr="00674104" w:rsidRDefault="00873C75" w:rsidP="00873C75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631818AF" w14:textId="4D1A2CC6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7952CC">
        <w:rPr>
          <w:rFonts w:eastAsia="Times New Roman"/>
          <w:szCs w:val="24"/>
          <w:lang w:bidi="yi-Hebr"/>
        </w:rPr>
        <w:t>3</w:t>
      </w:r>
      <w:r w:rsidRPr="00674104">
        <w:rPr>
          <w:rFonts w:eastAsia="Times New Roman"/>
          <w:szCs w:val="24"/>
          <w:lang w:bidi="yi-Hebr"/>
        </w:rPr>
        <w:t>.</w:t>
      </w:r>
      <w:r w:rsidR="007952CC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2E77E80A" w14:textId="77777777" w:rsidR="00873C75" w:rsidRPr="00674104" w:rsidRDefault="00873C75" w:rsidP="00873C75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490D81C7" w14:textId="77777777" w:rsidR="00873C75" w:rsidRPr="00704DD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26388756" w14:textId="77777777" w:rsidR="00873C75" w:rsidRPr="00704DD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</w:t>
      </w:r>
      <w:r w:rsidRPr="001F3430">
        <w:rPr>
          <w:b/>
          <w:bCs/>
          <w:spacing w:val="2"/>
          <w:szCs w:val="24"/>
        </w:rPr>
        <w:t>šādu sezonas</w:t>
      </w:r>
      <w:r>
        <w:rPr>
          <w:b/>
          <w:bCs/>
          <w:spacing w:val="2"/>
          <w:szCs w:val="24"/>
        </w:rPr>
        <w:t xml:space="preserve">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minimālo soli 10% apmērā no Sākumcenas</w:t>
      </w:r>
      <w:r w:rsidRPr="00704DD0">
        <w:rPr>
          <w:b/>
          <w:bCs/>
          <w:spacing w:val="2"/>
          <w:szCs w:val="24"/>
        </w:rPr>
        <w:t>. Iesniedzot piedāvājumu, maksimālais solis nav ierobežots</w:t>
      </w:r>
      <w:r>
        <w:rPr>
          <w:b/>
          <w:bCs/>
          <w:spacing w:val="2"/>
          <w:szCs w:val="24"/>
        </w:rPr>
        <w:t xml:space="preserve">: </w:t>
      </w:r>
    </w:p>
    <w:p w14:paraId="61ACB220" w14:textId="77777777" w:rsidR="00873C75" w:rsidRPr="0007777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873C75" w:rsidRPr="001F5C55" w14:paraId="59D4C099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A6532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F467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873C75" w:rsidRPr="001F5C55" w14:paraId="415E77A2" w14:textId="77777777" w:rsidTr="007E7802">
        <w:trPr>
          <w:trHeight w:val="40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A27A9" w14:textId="5685852A" w:rsidR="00873C75" w:rsidRPr="001F5C55" w:rsidRDefault="004D098C" w:rsidP="00794FC3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3C75" w:rsidRPr="001F5C55">
              <w:rPr>
                <w:sz w:val="22"/>
                <w:szCs w:val="22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4EDE" w14:textId="77777777" w:rsidR="00873C75" w:rsidRPr="001F5C55" w:rsidRDefault="00873C75" w:rsidP="00794FC3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  <w:tr w:rsidR="00873C75" w:rsidRPr="001F5C55" w14:paraId="5193528F" w14:textId="77777777" w:rsidTr="007E7802">
        <w:trPr>
          <w:trHeight w:val="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06BA6" w14:textId="0641667B" w:rsidR="00873C75" w:rsidRPr="001F5C55" w:rsidRDefault="004D098C" w:rsidP="00794FC3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3C75" w:rsidRPr="001F5C55">
              <w:rPr>
                <w:sz w:val="22"/>
                <w:szCs w:val="22"/>
              </w:rPr>
              <w:t>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AB6D" w14:textId="77777777" w:rsidR="00873C75" w:rsidRPr="001F5C55" w:rsidRDefault="00873C75" w:rsidP="00794FC3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</w:tbl>
    <w:p w14:paraId="653A6882" w14:textId="77777777" w:rsidR="006B3BEC" w:rsidRDefault="006B3BEC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</w:p>
    <w:p w14:paraId="1BD30940" w14:textId="3B529040" w:rsidR="00873C75" w:rsidRPr="004555F9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  <w:r w:rsidRPr="001F3430">
        <w:rPr>
          <w:rFonts w:eastAsia="Times New Roman"/>
          <w:b/>
          <w:spacing w:val="-2"/>
          <w:szCs w:val="24"/>
        </w:rPr>
        <w:t>Nomas objekta kopējā nomas maksa par sezonu (laika periods no 202</w:t>
      </w:r>
      <w:r w:rsidR="00EE08F6" w:rsidRPr="001F3430">
        <w:rPr>
          <w:rFonts w:eastAsia="Times New Roman"/>
          <w:b/>
          <w:spacing w:val="-2"/>
          <w:szCs w:val="24"/>
        </w:rPr>
        <w:t>3</w:t>
      </w:r>
      <w:r w:rsidRPr="001F3430">
        <w:rPr>
          <w:rFonts w:eastAsia="Times New Roman"/>
          <w:b/>
          <w:spacing w:val="-2"/>
          <w:szCs w:val="24"/>
        </w:rPr>
        <w:t>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gada 1.</w:t>
      </w:r>
      <w:r w:rsid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maija līdz 30.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septembrim) veidojas kā nosolītās mēneša nomas maksas reizinājums ar mēnešu skaitu (5), papildus maksājot PVN.</w:t>
      </w:r>
    </w:p>
    <w:p w14:paraId="0A1692CD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1F0A7EF1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70B4AD6D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5E6E328B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4495F9C1" w14:textId="77777777" w:rsidR="00873C75" w:rsidRPr="00674104" w:rsidRDefault="00873C75" w:rsidP="00873C75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89B333C" w14:textId="77777777" w:rsidR="00873C75" w:rsidRPr="00674104" w:rsidRDefault="00873C75" w:rsidP="00873C75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050961A3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53F35FB6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AABBD7B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990F4E4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873C75" w:rsidRPr="00674104" w14:paraId="4EE20284" w14:textId="77777777" w:rsidTr="00794FC3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790FCD87" w14:textId="77777777" w:rsidR="00873C75" w:rsidRPr="00674104" w:rsidRDefault="00873C75" w:rsidP="00794FC3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BA2A" w14:textId="77777777" w:rsidR="00873C75" w:rsidRPr="00674104" w:rsidRDefault="00873C75" w:rsidP="00794FC3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108EBC7F" w14:textId="77777777" w:rsidR="00873C75" w:rsidRPr="00674104" w:rsidRDefault="00873C75" w:rsidP="00794FC3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55BE5502" w14:textId="1B90CF8A" w:rsidR="00873C75" w:rsidRDefault="00873C75" w:rsidP="00002EFC">
      <w:pPr>
        <w:spacing w:line="240" w:lineRule="auto"/>
      </w:pPr>
      <w:bookmarkStart w:id="0" w:name="_GoBack"/>
      <w:bookmarkEnd w:id="0"/>
    </w:p>
    <w:sectPr w:rsidR="00873C75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22"/>
  </w:num>
  <w:num w:numId="10">
    <w:abstractNumId w:val="9"/>
  </w:num>
  <w:num w:numId="11">
    <w:abstractNumId w:val="28"/>
  </w:num>
  <w:num w:numId="12">
    <w:abstractNumId w:val="35"/>
  </w:num>
  <w:num w:numId="13">
    <w:abstractNumId w:val="15"/>
  </w:num>
  <w:num w:numId="14">
    <w:abstractNumId w:val="36"/>
  </w:num>
  <w:num w:numId="15">
    <w:abstractNumId w:val="34"/>
  </w:num>
  <w:num w:numId="16">
    <w:abstractNumId w:val="7"/>
  </w:num>
  <w:num w:numId="17">
    <w:abstractNumId w:val="19"/>
  </w:num>
  <w:num w:numId="18">
    <w:abstractNumId w:val="31"/>
  </w:num>
  <w:num w:numId="19">
    <w:abstractNumId w:val="10"/>
  </w:num>
  <w:num w:numId="20">
    <w:abstractNumId w:val="13"/>
  </w:num>
  <w:num w:numId="21">
    <w:abstractNumId w:val="25"/>
  </w:num>
  <w:num w:numId="22">
    <w:abstractNumId w:val="12"/>
  </w:num>
  <w:num w:numId="23">
    <w:abstractNumId w:val="23"/>
  </w:num>
  <w:num w:numId="24">
    <w:abstractNumId w:val="24"/>
  </w:num>
  <w:num w:numId="25">
    <w:abstractNumId w:val="29"/>
  </w:num>
  <w:num w:numId="26">
    <w:abstractNumId w:val="18"/>
  </w:num>
  <w:num w:numId="27">
    <w:abstractNumId w:val="32"/>
  </w:num>
  <w:num w:numId="28">
    <w:abstractNumId w:val="26"/>
  </w:num>
  <w:num w:numId="29">
    <w:abstractNumId w:val="27"/>
  </w:num>
  <w:num w:numId="30">
    <w:abstractNumId w:val="14"/>
  </w:num>
  <w:num w:numId="31">
    <w:abstractNumId w:val="33"/>
  </w:num>
  <w:num w:numId="32">
    <w:abstractNumId w:val="20"/>
  </w:num>
  <w:num w:numId="33">
    <w:abstractNumId w:val="21"/>
  </w:num>
  <w:num w:numId="34">
    <w:abstractNumId w:val="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75"/>
    <w:rsid w:val="00002EFC"/>
    <w:rsid w:val="00020648"/>
    <w:rsid w:val="00107775"/>
    <w:rsid w:val="00130795"/>
    <w:rsid w:val="001F3430"/>
    <w:rsid w:val="002650A3"/>
    <w:rsid w:val="00315427"/>
    <w:rsid w:val="004D098C"/>
    <w:rsid w:val="00535712"/>
    <w:rsid w:val="005B16E2"/>
    <w:rsid w:val="006B3BEC"/>
    <w:rsid w:val="007019B2"/>
    <w:rsid w:val="007952CC"/>
    <w:rsid w:val="007E7802"/>
    <w:rsid w:val="007F3254"/>
    <w:rsid w:val="008555C7"/>
    <w:rsid w:val="00873C75"/>
    <w:rsid w:val="009E134F"/>
    <w:rsid w:val="00B117EA"/>
    <w:rsid w:val="00B26AC6"/>
    <w:rsid w:val="00C1285A"/>
    <w:rsid w:val="00C1312B"/>
    <w:rsid w:val="00C4749B"/>
    <w:rsid w:val="00D87221"/>
    <w:rsid w:val="00EB0D72"/>
    <w:rsid w:val="00E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411B"/>
  <w15:chartTrackingRefBased/>
  <w15:docId w15:val="{3E9E4BD6-807C-420A-912B-7E4622E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3C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styleId="Virsraksts1">
    <w:name w:val="heading 1"/>
    <w:basedOn w:val="Parasts"/>
    <w:next w:val="Pamatteksts"/>
    <w:link w:val="Virsraksts1Rakstz"/>
    <w:qFormat/>
    <w:rsid w:val="00873C75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73C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3C75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873C75"/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3C75"/>
    <w:rPr>
      <w:rFonts w:ascii="Calibri" w:eastAsia="Times New Roman" w:hAnsi="Calibri" w:cs="Times New Roman"/>
      <w:i/>
      <w:iCs/>
      <w:sz w:val="24"/>
      <w:szCs w:val="24"/>
      <w:lang w:val="lv-LV"/>
    </w:rPr>
  </w:style>
  <w:style w:type="character" w:styleId="Hipersaite">
    <w:name w:val="Hyperlink"/>
    <w:basedOn w:val="Noklusjumarindkopasfonts"/>
    <w:rsid w:val="00873C75"/>
  </w:style>
  <w:style w:type="paragraph" w:customStyle="1" w:styleId="Heading">
    <w:name w:val="Heading"/>
    <w:basedOn w:val="Parasts"/>
    <w:next w:val="Pamatteksts"/>
    <w:rsid w:val="00873C75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873C75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araststmeklis">
    <w:name w:val="Normal (Web)"/>
    <w:basedOn w:val="Parasts"/>
    <w:rsid w:val="00873C75"/>
    <w:pPr>
      <w:spacing w:before="280" w:after="280"/>
    </w:pPr>
  </w:style>
  <w:style w:type="paragraph" w:styleId="Pamatteksts2">
    <w:name w:val="Body Text 2"/>
    <w:basedOn w:val="Parasts"/>
    <w:link w:val="Pamatteksts2Rakstz"/>
    <w:rsid w:val="00873C75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873C75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73C75"/>
    <w:rPr>
      <w:color w:val="605E5C"/>
      <w:shd w:val="clear" w:color="auto" w:fill="E1DFDD"/>
    </w:rPr>
  </w:style>
  <w:style w:type="character" w:styleId="Komentraatsauce">
    <w:name w:val="annotation reference"/>
    <w:rsid w:val="00873C7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73C75"/>
  </w:style>
  <w:style w:type="character" w:customStyle="1" w:styleId="KomentratekstsRakstz">
    <w:name w:val="Komentāra teksts Rakstz."/>
    <w:basedOn w:val="Noklusjumarindkopasfonts"/>
    <w:link w:val="Komentrateksts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rsid w:val="00873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3C75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rsid w:val="00873C7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873C75"/>
    <w:rPr>
      <w:rFonts w:ascii="Segoe UI" w:eastAsia="Calibri" w:hAnsi="Segoe UI" w:cs="Times New Roman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873C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customStyle="1" w:styleId="Default">
    <w:name w:val="Default"/>
    <w:rsid w:val="00873C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customStyle="1" w:styleId="ColorfulList-Accent11">
    <w:name w:val="Colorful List - Accent 11"/>
    <w:basedOn w:val="Parasts"/>
    <w:qFormat/>
    <w:rsid w:val="00873C75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jene">
    <w:name w:val="footer"/>
    <w:basedOn w:val="Parasts"/>
    <w:link w:val="Kj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873C75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3</cp:revision>
  <cp:lastPrinted>2023-03-31T07:25:00Z</cp:lastPrinted>
  <dcterms:created xsi:type="dcterms:W3CDTF">2023-03-31T07:26:00Z</dcterms:created>
  <dcterms:modified xsi:type="dcterms:W3CDTF">2023-03-31T07:40:00Z</dcterms:modified>
</cp:coreProperties>
</file>